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6E9" w:rsidRPr="00B419F6" w:rsidRDefault="00CA16E9" w:rsidP="00C72244">
      <w:pPr>
        <w:pStyle w:val="Title"/>
        <w:rPr>
          <w:rFonts w:eastAsiaTheme="minorHAnsi" w:cstheme="majorHAnsi"/>
          <w:lang w:val="sr-Cyrl-RS"/>
        </w:rPr>
      </w:pPr>
    </w:p>
    <w:p w:rsidR="00441D3C" w:rsidRPr="006C7B09" w:rsidRDefault="00441D3C" w:rsidP="00441D3C">
      <w:pPr>
        <w:rPr>
          <w:rFonts w:asciiTheme="majorHAnsi" w:hAnsiTheme="majorHAnsi" w:cstheme="majorHAnsi"/>
        </w:rPr>
      </w:pPr>
    </w:p>
    <w:p w:rsidR="00441D3C" w:rsidRPr="006C7B09" w:rsidRDefault="00441D3C" w:rsidP="00441D3C">
      <w:pPr>
        <w:rPr>
          <w:rFonts w:asciiTheme="majorHAnsi" w:hAnsiTheme="majorHAnsi" w:cstheme="majorHAnsi"/>
        </w:rPr>
      </w:pPr>
    </w:p>
    <w:p w:rsidR="00441D3C" w:rsidRPr="0010741C" w:rsidRDefault="00441D3C" w:rsidP="00441D3C">
      <w:pPr>
        <w:rPr>
          <w:rFonts w:asciiTheme="majorHAnsi" w:hAnsiTheme="majorHAnsi" w:cstheme="majorHAnsi"/>
          <w:lang w:val="sr-Latn-RS"/>
        </w:rPr>
      </w:pPr>
    </w:p>
    <w:p w:rsidR="00441D3C" w:rsidRPr="006C7B09" w:rsidRDefault="00441D3C" w:rsidP="00441D3C">
      <w:pPr>
        <w:rPr>
          <w:rFonts w:asciiTheme="majorHAnsi" w:hAnsiTheme="majorHAnsi" w:cstheme="majorHAnsi"/>
        </w:rPr>
      </w:pPr>
    </w:p>
    <w:p w:rsidR="00441D3C" w:rsidRPr="006C7B09" w:rsidRDefault="00441D3C" w:rsidP="00441D3C">
      <w:pPr>
        <w:rPr>
          <w:rFonts w:asciiTheme="majorHAnsi" w:hAnsiTheme="majorHAnsi" w:cstheme="majorHAnsi"/>
        </w:rPr>
      </w:pPr>
    </w:p>
    <w:p w:rsidR="00CA16E9" w:rsidRPr="006C7B09" w:rsidRDefault="00CA16E9" w:rsidP="00C72244">
      <w:pPr>
        <w:pStyle w:val="Title"/>
        <w:rPr>
          <w:rFonts w:eastAsiaTheme="minorHAnsi" w:cstheme="majorHAnsi"/>
        </w:rPr>
      </w:pPr>
    </w:p>
    <w:p w:rsidR="00CA16E9" w:rsidRPr="006C7B09" w:rsidRDefault="00CA16E9" w:rsidP="00C72244">
      <w:pPr>
        <w:pStyle w:val="Title"/>
        <w:rPr>
          <w:rFonts w:eastAsiaTheme="minorHAnsi" w:cstheme="majorHAnsi"/>
        </w:rPr>
      </w:pPr>
    </w:p>
    <w:p w:rsidR="00CA16E9" w:rsidRPr="006C7B09" w:rsidRDefault="00CA16E9" w:rsidP="00C72244">
      <w:pPr>
        <w:pStyle w:val="Title"/>
        <w:rPr>
          <w:rFonts w:eastAsiaTheme="minorHAnsi" w:cstheme="majorHAnsi"/>
        </w:rPr>
      </w:pPr>
    </w:p>
    <w:p w:rsidR="00341C68" w:rsidRPr="006C7B09" w:rsidRDefault="006F1BE2" w:rsidP="00286904">
      <w:pPr>
        <w:pStyle w:val="Title"/>
        <w:jc w:val="center"/>
        <w:rPr>
          <w:rFonts w:eastAsiaTheme="minorHAnsi" w:cstheme="majorHAnsi"/>
          <w:lang w:val="sr-Cyrl-RS"/>
        </w:rPr>
      </w:pPr>
      <w:r w:rsidRPr="006C7B09">
        <w:rPr>
          <w:rFonts w:eastAsiaTheme="minorHAnsi" w:cstheme="majorHAnsi"/>
          <w:lang w:val="sr-Cyrl-RS"/>
        </w:rPr>
        <w:t xml:space="preserve">Политика ревизије </w:t>
      </w:r>
    </w:p>
    <w:p w:rsidR="00341C68" w:rsidRPr="006C7B09" w:rsidRDefault="00341C68" w:rsidP="00286904">
      <w:pPr>
        <w:pStyle w:val="Title"/>
        <w:jc w:val="center"/>
        <w:rPr>
          <w:rFonts w:eastAsiaTheme="minorHAnsi" w:cstheme="majorHAnsi"/>
          <w:lang w:val="sr-Cyrl-RS"/>
        </w:rPr>
      </w:pPr>
      <w:r w:rsidRPr="006C7B09">
        <w:rPr>
          <w:rFonts w:eastAsiaTheme="minorHAnsi" w:cstheme="majorHAnsi"/>
          <w:lang w:val="sr-Cyrl-RS"/>
        </w:rPr>
        <w:t>националних рачуна</w:t>
      </w:r>
    </w:p>
    <w:p w:rsidR="00C72244" w:rsidRPr="006C7B09" w:rsidRDefault="006F1BE2" w:rsidP="00286904">
      <w:pPr>
        <w:pStyle w:val="Title"/>
        <w:jc w:val="center"/>
        <w:rPr>
          <w:rFonts w:eastAsiaTheme="minorHAnsi" w:cstheme="majorHAnsi"/>
        </w:rPr>
      </w:pPr>
      <w:r w:rsidRPr="006C7B09">
        <w:rPr>
          <w:rFonts w:eastAsiaTheme="minorHAnsi" w:cstheme="majorHAnsi"/>
          <w:lang w:val="sr-Cyrl-RS"/>
        </w:rPr>
        <w:t>Републичког завода за статистику</w:t>
      </w:r>
    </w:p>
    <w:p w:rsidR="008775ED" w:rsidRPr="006C7B09" w:rsidRDefault="008775ED" w:rsidP="004476DB">
      <w:pPr>
        <w:rPr>
          <w:rFonts w:asciiTheme="majorHAnsi" w:eastAsiaTheme="minorHAnsi" w:hAnsiTheme="majorHAnsi" w:cstheme="majorHAnsi"/>
        </w:rPr>
      </w:pPr>
    </w:p>
    <w:p w:rsidR="004476DB" w:rsidRPr="006C7B09" w:rsidRDefault="004476DB" w:rsidP="004476DB">
      <w:pPr>
        <w:rPr>
          <w:rFonts w:asciiTheme="majorHAnsi" w:eastAsiaTheme="minorHAnsi" w:hAnsiTheme="majorHAnsi" w:cstheme="majorHAnsi"/>
        </w:rPr>
      </w:pPr>
    </w:p>
    <w:p w:rsidR="004476DB" w:rsidRPr="006C7B09" w:rsidRDefault="004476DB" w:rsidP="004476DB">
      <w:pPr>
        <w:rPr>
          <w:rFonts w:asciiTheme="majorHAnsi" w:eastAsiaTheme="minorHAnsi" w:hAnsiTheme="majorHAnsi" w:cstheme="majorHAnsi"/>
        </w:rPr>
      </w:pPr>
    </w:p>
    <w:p w:rsidR="004476DB" w:rsidRPr="006C7B09" w:rsidRDefault="004476DB" w:rsidP="004476DB">
      <w:pPr>
        <w:rPr>
          <w:rFonts w:asciiTheme="majorHAnsi" w:eastAsiaTheme="minorHAnsi" w:hAnsiTheme="majorHAnsi" w:cstheme="majorHAnsi"/>
        </w:rPr>
      </w:pPr>
    </w:p>
    <w:p w:rsidR="004476DB" w:rsidRPr="006C7B09" w:rsidRDefault="004476DB" w:rsidP="004476DB">
      <w:pPr>
        <w:rPr>
          <w:rFonts w:asciiTheme="majorHAnsi" w:eastAsiaTheme="minorHAnsi" w:hAnsiTheme="majorHAnsi" w:cstheme="majorHAnsi"/>
        </w:rPr>
      </w:pPr>
    </w:p>
    <w:p w:rsidR="00B756D6" w:rsidRDefault="00B756D6">
      <w:pPr>
        <w:rPr>
          <w:rFonts w:asciiTheme="majorHAnsi" w:eastAsiaTheme="minorHAnsi" w:hAnsiTheme="majorHAnsi" w:cstheme="majorHAnsi"/>
        </w:rPr>
      </w:pPr>
      <w:r>
        <w:rPr>
          <w:rFonts w:asciiTheme="majorHAnsi" w:eastAsiaTheme="minorHAnsi" w:hAnsiTheme="majorHAnsi" w:cstheme="majorHAnsi"/>
        </w:rPr>
        <w:br w:type="page"/>
      </w:r>
    </w:p>
    <w:p w:rsidR="00296770" w:rsidRDefault="00296770" w:rsidP="00E31115">
      <w:pPr>
        <w:pStyle w:val="TOCHeading"/>
        <w:numPr>
          <w:ilvl w:val="0"/>
          <w:numId w:val="0"/>
        </w:numPr>
        <w:ind w:left="432"/>
        <w:rPr>
          <w:rFonts w:asciiTheme="minorHAnsi" w:eastAsiaTheme="minorEastAsia" w:hAnsiTheme="minorHAnsi" w:cstheme="majorHAnsi"/>
          <w:b w:val="0"/>
          <w:bCs w:val="0"/>
          <w:smallCaps w:val="0"/>
          <w:color w:val="auto"/>
          <w:sz w:val="22"/>
          <w:szCs w:val="22"/>
        </w:rPr>
        <w:sectPr w:rsidR="00296770" w:rsidSect="00296770">
          <w:footerReference w:type="first" r:id="rId8"/>
          <w:pgSz w:w="12240" w:h="15840" w:code="1"/>
          <w:pgMar w:top="1440" w:right="1440" w:bottom="1440" w:left="1440" w:header="706" w:footer="706" w:gutter="0"/>
          <w:cols w:space="708"/>
          <w:titlePg/>
          <w:docGrid w:linePitch="360"/>
        </w:sectPr>
      </w:pPr>
    </w:p>
    <w:p w:rsidR="00B756D6" w:rsidRDefault="00B756D6" w:rsidP="00AB29F7">
      <w:pPr>
        <w:pStyle w:val="TOCHeading"/>
        <w:numPr>
          <w:ilvl w:val="0"/>
          <w:numId w:val="0"/>
        </w:numPr>
        <w:spacing w:before="960"/>
        <w:ind w:left="432"/>
        <w:rPr>
          <w:rFonts w:asciiTheme="minorHAnsi" w:eastAsiaTheme="minorEastAsia" w:hAnsiTheme="minorHAnsi" w:cstheme="majorHAnsi"/>
          <w:b w:val="0"/>
          <w:bCs w:val="0"/>
          <w:smallCaps w:val="0"/>
          <w:color w:val="auto"/>
          <w:sz w:val="22"/>
          <w:szCs w:val="22"/>
        </w:rPr>
      </w:pPr>
    </w:p>
    <w:p w:rsidR="00B756D6" w:rsidRDefault="00B756D6" w:rsidP="00C86850">
      <w:pPr>
        <w:pStyle w:val="TOCHeading"/>
        <w:numPr>
          <w:ilvl w:val="0"/>
          <w:numId w:val="0"/>
        </w:numPr>
        <w:spacing w:before="2520" w:line="240" w:lineRule="auto"/>
        <w:ind w:left="432"/>
        <w:rPr>
          <w:rFonts w:asciiTheme="minorHAnsi" w:eastAsiaTheme="minorEastAsia" w:hAnsiTheme="minorHAnsi" w:cstheme="majorHAnsi"/>
          <w:b w:val="0"/>
          <w:bCs w:val="0"/>
          <w:smallCaps w:val="0"/>
          <w:color w:val="auto"/>
          <w:sz w:val="22"/>
          <w:szCs w:val="22"/>
        </w:rPr>
      </w:pPr>
    </w:p>
    <w:sdt>
      <w:sdtPr>
        <w:rPr>
          <w:rFonts w:asciiTheme="minorHAnsi" w:eastAsiaTheme="minorEastAsia" w:hAnsiTheme="minorHAnsi" w:cstheme="majorHAnsi"/>
          <w:b w:val="0"/>
          <w:bCs w:val="0"/>
          <w:smallCaps w:val="0"/>
          <w:color w:val="auto"/>
          <w:sz w:val="22"/>
          <w:szCs w:val="22"/>
        </w:rPr>
        <w:id w:val="406650368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8775ED" w:rsidRPr="006C7B09" w:rsidRDefault="006F1BE2" w:rsidP="00E31115">
          <w:pPr>
            <w:pStyle w:val="TOCHeading"/>
            <w:numPr>
              <w:ilvl w:val="0"/>
              <w:numId w:val="0"/>
            </w:numPr>
            <w:ind w:left="432"/>
            <w:rPr>
              <w:rFonts w:cstheme="majorHAnsi"/>
              <w:sz w:val="28"/>
              <w:szCs w:val="28"/>
            </w:rPr>
          </w:pPr>
          <w:r w:rsidRPr="006C7B09">
            <w:rPr>
              <w:rFonts w:cstheme="majorHAnsi"/>
              <w:sz w:val="28"/>
              <w:szCs w:val="28"/>
            </w:rPr>
            <w:t>Садржај</w:t>
          </w:r>
        </w:p>
        <w:p w:rsidR="007441D6" w:rsidRPr="006C7B09" w:rsidRDefault="008775ED">
          <w:pPr>
            <w:pStyle w:val="TOC1"/>
            <w:tabs>
              <w:tab w:val="left" w:pos="440"/>
              <w:tab w:val="right" w:leader="dot" w:pos="9350"/>
            </w:tabs>
            <w:rPr>
              <w:rFonts w:asciiTheme="majorHAnsi" w:hAnsiTheme="majorHAnsi" w:cstheme="majorHAnsi"/>
              <w:noProof/>
              <w:lang w:val="sr-Latn-RS" w:eastAsia="sr-Latn-RS"/>
            </w:rPr>
          </w:pPr>
          <w:r w:rsidRPr="006C7B09">
            <w:rPr>
              <w:rFonts w:asciiTheme="majorHAnsi" w:hAnsiTheme="majorHAnsi" w:cstheme="majorHAnsi"/>
            </w:rPr>
            <w:fldChar w:fldCharType="begin"/>
          </w:r>
          <w:r w:rsidRPr="006C7B09">
            <w:rPr>
              <w:rFonts w:asciiTheme="majorHAnsi" w:hAnsiTheme="majorHAnsi" w:cstheme="majorHAnsi"/>
            </w:rPr>
            <w:instrText xml:space="preserve"> TOC \o "1-3" \h \z \u </w:instrText>
          </w:r>
          <w:r w:rsidRPr="006C7B09">
            <w:rPr>
              <w:rFonts w:asciiTheme="majorHAnsi" w:hAnsiTheme="majorHAnsi" w:cstheme="majorHAnsi"/>
            </w:rPr>
            <w:fldChar w:fldCharType="separate"/>
          </w:r>
          <w:hyperlink w:anchor="_Toc52283273" w:history="1">
            <w:r w:rsidR="007441D6" w:rsidRPr="006C7B09">
              <w:rPr>
                <w:rStyle w:val="Hyperlink"/>
                <w:rFonts w:asciiTheme="majorHAnsi" w:eastAsiaTheme="minorHAnsi" w:hAnsiTheme="majorHAnsi" w:cstheme="majorHAnsi"/>
                <w:noProof/>
              </w:rPr>
              <w:t>1</w:t>
            </w:r>
            <w:r w:rsidR="007441D6" w:rsidRPr="006C7B09">
              <w:rPr>
                <w:rFonts w:asciiTheme="majorHAnsi" w:hAnsiTheme="majorHAnsi" w:cstheme="majorHAnsi"/>
                <w:noProof/>
                <w:lang w:val="sr-Latn-RS" w:eastAsia="sr-Latn-RS"/>
              </w:rPr>
              <w:tab/>
            </w:r>
            <w:r w:rsidR="007441D6" w:rsidRPr="006C7B09">
              <w:rPr>
                <w:rStyle w:val="Hyperlink"/>
                <w:rFonts w:asciiTheme="majorHAnsi" w:eastAsiaTheme="minorHAnsi" w:hAnsiTheme="majorHAnsi" w:cstheme="majorHAnsi"/>
                <w:noProof/>
              </w:rPr>
              <w:t>Увод</w:t>
            </w:r>
            <w:r w:rsidR="007441D6" w:rsidRPr="006C7B09">
              <w:rPr>
                <w:rFonts w:asciiTheme="majorHAnsi" w:hAnsiTheme="majorHAnsi" w:cstheme="majorHAnsi"/>
                <w:noProof/>
                <w:webHidden/>
              </w:rPr>
              <w:tab/>
            </w:r>
            <w:r w:rsidR="007441D6" w:rsidRPr="006C7B09">
              <w:rPr>
                <w:rFonts w:asciiTheme="majorHAnsi" w:hAnsiTheme="majorHAnsi" w:cstheme="majorHAnsi"/>
                <w:noProof/>
                <w:webHidden/>
              </w:rPr>
              <w:fldChar w:fldCharType="begin"/>
            </w:r>
            <w:r w:rsidR="007441D6" w:rsidRPr="006C7B09">
              <w:rPr>
                <w:rFonts w:asciiTheme="majorHAnsi" w:hAnsiTheme="majorHAnsi" w:cstheme="majorHAnsi"/>
                <w:noProof/>
                <w:webHidden/>
              </w:rPr>
              <w:instrText xml:space="preserve"> PAGEREF _Toc52283273 \h </w:instrText>
            </w:r>
            <w:r w:rsidR="007441D6" w:rsidRPr="006C7B09">
              <w:rPr>
                <w:rFonts w:asciiTheme="majorHAnsi" w:hAnsiTheme="majorHAnsi" w:cstheme="majorHAnsi"/>
                <w:noProof/>
                <w:webHidden/>
              </w:rPr>
            </w:r>
            <w:r w:rsidR="007441D6" w:rsidRPr="006C7B09">
              <w:rPr>
                <w:rFonts w:asciiTheme="majorHAnsi" w:hAnsiTheme="majorHAnsi" w:cstheme="majorHAnsi"/>
                <w:noProof/>
                <w:webHidden/>
              </w:rPr>
              <w:fldChar w:fldCharType="separate"/>
            </w:r>
            <w:r w:rsidR="00280402">
              <w:rPr>
                <w:rFonts w:asciiTheme="majorHAnsi" w:hAnsiTheme="majorHAnsi" w:cstheme="majorHAnsi"/>
                <w:noProof/>
                <w:webHidden/>
              </w:rPr>
              <w:t>3</w:t>
            </w:r>
            <w:r w:rsidR="007441D6" w:rsidRPr="006C7B09">
              <w:rPr>
                <w:rFonts w:asciiTheme="majorHAnsi" w:hAnsiTheme="majorHAnsi" w:cstheme="majorHAnsi"/>
                <w:noProof/>
                <w:webHidden/>
              </w:rPr>
              <w:fldChar w:fldCharType="end"/>
            </w:r>
          </w:hyperlink>
        </w:p>
        <w:p w:rsidR="007441D6" w:rsidRPr="006C7B09" w:rsidRDefault="009E5485">
          <w:pPr>
            <w:pStyle w:val="TOC1"/>
            <w:tabs>
              <w:tab w:val="left" w:pos="440"/>
              <w:tab w:val="right" w:leader="dot" w:pos="9350"/>
            </w:tabs>
            <w:rPr>
              <w:rFonts w:asciiTheme="majorHAnsi" w:hAnsiTheme="majorHAnsi" w:cstheme="majorHAnsi"/>
              <w:noProof/>
              <w:lang w:val="sr-Latn-RS" w:eastAsia="sr-Latn-RS"/>
            </w:rPr>
          </w:pPr>
          <w:hyperlink w:anchor="_Toc52283274" w:history="1">
            <w:r w:rsidR="007441D6" w:rsidRPr="006C7B09">
              <w:rPr>
                <w:rStyle w:val="Hyperlink"/>
                <w:rFonts w:asciiTheme="majorHAnsi" w:eastAsiaTheme="minorHAnsi" w:hAnsiTheme="majorHAnsi" w:cstheme="majorHAnsi"/>
                <w:noProof/>
              </w:rPr>
              <w:t>2</w:t>
            </w:r>
            <w:r w:rsidR="007441D6" w:rsidRPr="006C7B09">
              <w:rPr>
                <w:rFonts w:asciiTheme="majorHAnsi" w:hAnsiTheme="majorHAnsi" w:cstheme="majorHAnsi"/>
                <w:noProof/>
                <w:lang w:val="sr-Latn-RS" w:eastAsia="sr-Latn-RS"/>
              </w:rPr>
              <w:tab/>
            </w:r>
            <w:r w:rsidR="007441D6" w:rsidRPr="006C7B09">
              <w:rPr>
                <w:rStyle w:val="Hyperlink"/>
                <w:rFonts w:asciiTheme="majorHAnsi" w:eastAsiaTheme="minorHAnsi" w:hAnsiTheme="majorHAnsi" w:cstheme="majorHAnsi"/>
                <w:noProof/>
                <w:lang w:val="sr-Cyrl-RS"/>
              </w:rPr>
              <w:t>Календар објављивања</w:t>
            </w:r>
            <w:r w:rsidR="007441D6" w:rsidRPr="006C7B09">
              <w:rPr>
                <w:rFonts w:asciiTheme="majorHAnsi" w:hAnsiTheme="majorHAnsi" w:cstheme="majorHAnsi"/>
                <w:noProof/>
                <w:webHidden/>
              </w:rPr>
              <w:tab/>
            </w:r>
            <w:r w:rsidR="007441D6" w:rsidRPr="006C7B09">
              <w:rPr>
                <w:rFonts w:asciiTheme="majorHAnsi" w:hAnsiTheme="majorHAnsi" w:cstheme="majorHAnsi"/>
                <w:noProof/>
                <w:webHidden/>
              </w:rPr>
              <w:fldChar w:fldCharType="begin"/>
            </w:r>
            <w:r w:rsidR="007441D6" w:rsidRPr="006C7B09">
              <w:rPr>
                <w:rFonts w:asciiTheme="majorHAnsi" w:hAnsiTheme="majorHAnsi" w:cstheme="majorHAnsi"/>
                <w:noProof/>
                <w:webHidden/>
              </w:rPr>
              <w:instrText xml:space="preserve"> PAGEREF _Toc52283274 \h </w:instrText>
            </w:r>
            <w:r w:rsidR="007441D6" w:rsidRPr="006C7B09">
              <w:rPr>
                <w:rFonts w:asciiTheme="majorHAnsi" w:hAnsiTheme="majorHAnsi" w:cstheme="majorHAnsi"/>
                <w:noProof/>
                <w:webHidden/>
              </w:rPr>
            </w:r>
            <w:r w:rsidR="007441D6" w:rsidRPr="006C7B09">
              <w:rPr>
                <w:rFonts w:asciiTheme="majorHAnsi" w:hAnsiTheme="majorHAnsi" w:cstheme="majorHAnsi"/>
                <w:noProof/>
                <w:webHidden/>
              </w:rPr>
              <w:fldChar w:fldCharType="separate"/>
            </w:r>
            <w:r w:rsidR="00280402">
              <w:rPr>
                <w:rFonts w:asciiTheme="majorHAnsi" w:hAnsiTheme="majorHAnsi" w:cstheme="majorHAnsi"/>
                <w:noProof/>
                <w:webHidden/>
              </w:rPr>
              <w:t>4</w:t>
            </w:r>
            <w:r w:rsidR="007441D6" w:rsidRPr="006C7B09">
              <w:rPr>
                <w:rFonts w:asciiTheme="majorHAnsi" w:hAnsiTheme="majorHAnsi" w:cstheme="majorHAnsi"/>
                <w:noProof/>
                <w:webHidden/>
              </w:rPr>
              <w:fldChar w:fldCharType="end"/>
            </w:r>
          </w:hyperlink>
        </w:p>
        <w:p w:rsidR="007441D6" w:rsidRPr="006C7B09" w:rsidRDefault="009E5485">
          <w:pPr>
            <w:pStyle w:val="TOC1"/>
            <w:tabs>
              <w:tab w:val="left" w:pos="440"/>
              <w:tab w:val="right" w:leader="dot" w:pos="9350"/>
            </w:tabs>
            <w:rPr>
              <w:rFonts w:asciiTheme="majorHAnsi" w:hAnsiTheme="majorHAnsi" w:cstheme="majorHAnsi"/>
              <w:noProof/>
              <w:lang w:val="sr-Latn-RS" w:eastAsia="sr-Latn-RS"/>
            </w:rPr>
          </w:pPr>
          <w:hyperlink w:anchor="_Toc52283275" w:history="1">
            <w:r w:rsidR="007441D6" w:rsidRPr="006C7B09">
              <w:rPr>
                <w:rStyle w:val="Hyperlink"/>
                <w:rFonts w:asciiTheme="majorHAnsi" w:eastAsiaTheme="minorHAnsi" w:hAnsiTheme="majorHAnsi" w:cstheme="majorHAnsi"/>
                <w:noProof/>
              </w:rPr>
              <w:t>3</w:t>
            </w:r>
            <w:r w:rsidR="007441D6" w:rsidRPr="006C7B09">
              <w:rPr>
                <w:rFonts w:asciiTheme="majorHAnsi" w:hAnsiTheme="majorHAnsi" w:cstheme="majorHAnsi"/>
                <w:noProof/>
                <w:lang w:val="sr-Latn-RS" w:eastAsia="sr-Latn-RS"/>
              </w:rPr>
              <w:tab/>
            </w:r>
            <w:r w:rsidR="007441D6" w:rsidRPr="006C7B09">
              <w:rPr>
                <w:rStyle w:val="Hyperlink"/>
                <w:rFonts w:asciiTheme="majorHAnsi" w:eastAsiaTheme="minorHAnsi" w:hAnsiTheme="majorHAnsi" w:cstheme="majorHAnsi"/>
                <w:noProof/>
                <w:lang w:val="sr-Cyrl-RS"/>
              </w:rPr>
              <w:t>Текуће ревизије</w:t>
            </w:r>
            <w:r w:rsidR="007441D6" w:rsidRPr="006C7B09">
              <w:rPr>
                <w:rFonts w:asciiTheme="majorHAnsi" w:hAnsiTheme="majorHAnsi" w:cstheme="majorHAnsi"/>
                <w:noProof/>
                <w:webHidden/>
              </w:rPr>
              <w:tab/>
            </w:r>
            <w:r w:rsidR="007441D6" w:rsidRPr="006C7B09">
              <w:rPr>
                <w:rFonts w:asciiTheme="majorHAnsi" w:hAnsiTheme="majorHAnsi" w:cstheme="majorHAnsi"/>
                <w:noProof/>
                <w:webHidden/>
              </w:rPr>
              <w:fldChar w:fldCharType="begin"/>
            </w:r>
            <w:r w:rsidR="007441D6" w:rsidRPr="006C7B09">
              <w:rPr>
                <w:rFonts w:asciiTheme="majorHAnsi" w:hAnsiTheme="majorHAnsi" w:cstheme="majorHAnsi"/>
                <w:noProof/>
                <w:webHidden/>
              </w:rPr>
              <w:instrText xml:space="preserve"> PAGEREF _Toc52283275 \h </w:instrText>
            </w:r>
            <w:r w:rsidR="007441D6" w:rsidRPr="006C7B09">
              <w:rPr>
                <w:rFonts w:asciiTheme="majorHAnsi" w:hAnsiTheme="majorHAnsi" w:cstheme="majorHAnsi"/>
                <w:noProof/>
                <w:webHidden/>
              </w:rPr>
            </w:r>
            <w:r w:rsidR="007441D6" w:rsidRPr="006C7B09">
              <w:rPr>
                <w:rFonts w:asciiTheme="majorHAnsi" w:hAnsiTheme="majorHAnsi" w:cstheme="majorHAnsi"/>
                <w:noProof/>
                <w:webHidden/>
              </w:rPr>
              <w:fldChar w:fldCharType="separate"/>
            </w:r>
            <w:r w:rsidR="00280402">
              <w:rPr>
                <w:rFonts w:asciiTheme="majorHAnsi" w:hAnsiTheme="majorHAnsi" w:cstheme="majorHAnsi"/>
                <w:noProof/>
                <w:webHidden/>
              </w:rPr>
              <w:t>6</w:t>
            </w:r>
            <w:r w:rsidR="007441D6" w:rsidRPr="006C7B09">
              <w:rPr>
                <w:rFonts w:asciiTheme="majorHAnsi" w:hAnsiTheme="majorHAnsi" w:cstheme="majorHAnsi"/>
                <w:noProof/>
                <w:webHidden/>
              </w:rPr>
              <w:fldChar w:fldCharType="end"/>
            </w:r>
          </w:hyperlink>
        </w:p>
        <w:p w:rsidR="007441D6" w:rsidRPr="006C7B09" w:rsidRDefault="009E5485">
          <w:pPr>
            <w:pStyle w:val="TOC1"/>
            <w:tabs>
              <w:tab w:val="left" w:pos="440"/>
              <w:tab w:val="right" w:leader="dot" w:pos="9350"/>
            </w:tabs>
            <w:rPr>
              <w:rFonts w:asciiTheme="majorHAnsi" w:hAnsiTheme="majorHAnsi" w:cstheme="majorHAnsi"/>
              <w:noProof/>
              <w:lang w:val="sr-Latn-RS" w:eastAsia="sr-Latn-RS"/>
            </w:rPr>
          </w:pPr>
          <w:hyperlink w:anchor="_Toc52283276" w:history="1">
            <w:r w:rsidR="007441D6" w:rsidRPr="006C7B09">
              <w:rPr>
                <w:rStyle w:val="Hyperlink"/>
                <w:rFonts w:asciiTheme="majorHAnsi" w:hAnsiTheme="majorHAnsi" w:cstheme="majorHAnsi"/>
                <w:noProof/>
              </w:rPr>
              <w:t>4</w:t>
            </w:r>
            <w:r w:rsidR="007441D6" w:rsidRPr="006C7B09">
              <w:rPr>
                <w:rFonts w:asciiTheme="majorHAnsi" w:hAnsiTheme="majorHAnsi" w:cstheme="majorHAnsi"/>
                <w:noProof/>
                <w:lang w:val="sr-Latn-RS" w:eastAsia="sr-Latn-RS"/>
              </w:rPr>
              <w:tab/>
            </w:r>
            <w:r w:rsidR="007441D6" w:rsidRPr="006C7B09">
              <w:rPr>
                <w:rStyle w:val="Hyperlink"/>
                <w:rFonts w:asciiTheme="majorHAnsi" w:hAnsiTheme="majorHAnsi" w:cstheme="majorHAnsi"/>
                <w:noProof/>
                <w:lang w:val="sr-Cyrl-RS"/>
              </w:rPr>
              <w:t xml:space="preserve">Велике </w:t>
            </w:r>
            <w:r w:rsidR="002102B1">
              <w:rPr>
                <w:rStyle w:val="Hyperlink"/>
                <w:rFonts w:asciiTheme="majorHAnsi" w:hAnsiTheme="majorHAnsi" w:cstheme="majorHAnsi"/>
                <w:noProof/>
                <w:lang w:val="sr-Cyrl-RS"/>
              </w:rPr>
              <w:t xml:space="preserve">редовне </w:t>
            </w:r>
            <w:r w:rsidR="007441D6" w:rsidRPr="006C7B09">
              <w:rPr>
                <w:rStyle w:val="Hyperlink"/>
                <w:rFonts w:asciiTheme="majorHAnsi" w:hAnsiTheme="majorHAnsi" w:cstheme="majorHAnsi"/>
                <w:noProof/>
                <w:lang w:val="sr-Latn-RS"/>
              </w:rPr>
              <w:t>(</w:t>
            </w:r>
            <w:r w:rsidR="007441D6" w:rsidRPr="006C7B09">
              <w:rPr>
                <w:rStyle w:val="Hyperlink"/>
                <w:rFonts w:asciiTheme="majorHAnsi" w:hAnsiTheme="majorHAnsi" w:cstheme="majorHAnsi"/>
                <w:noProof/>
                <w:lang w:val="sr-Cyrl-RS"/>
              </w:rPr>
              <w:t>бенчмарк) ревизије</w:t>
            </w:r>
            <w:r w:rsidR="007441D6" w:rsidRPr="006C7B09">
              <w:rPr>
                <w:rFonts w:asciiTheme="majorHAnsi" w:hAnsiTheme="majorHAnsi" w:cstheme="majorHAnsi"/>
                <w:noProof/>
                <w:webHidden/>
              </w:rPr>
              <w:tab/>
            </w:r>
            <w:r w:rsidR="007441D6" w:rsidRPr="006C7B09">
              <w:rPr>
                <w:rFonts w:asciiTheme="majorHAnsi" w:hAnsiTheme="majorHAnsi" w:cstheme="majorHAnsi"/>
                <w:noProof/>
                <w:webHidden/>
              </w:rPr>
              <w:fldChar w:fldCharType="begin"/>
            </w:r>
            <w:r w:rsidR="007441D6" w:rsidRPr="006C7B09">
              <w:rPr>
                <w:rFonts w:asciiTheme="majorHAnsi" w:hAnsiTheme="majorHAnsi" w:cstheme="majorHAnsi"/>
                <w:noProof/>
                <w:webHidden/>
              </w:rPr>
              <w:instrText xml:space="preserve"> PAGEREF _Toc52283276 \h </w:instrText>
            </w:r>
            <w:r w:rsidR="007441D6" w:rsidRPr="006C7B09">
              <w:rPr>
                <w:rFonts w:asciiTheme="majorHAnsi" w:hAnsiTheme="majorHAnsi" w:cstheme="majorHAnsi"/>
                <w:noProof/>
                <w:webHidden/>
              </w:rPr>
            </w:r>
            <w:r w:rsidR="007441D6" w:rsidRPr="006C7B09">
              <w:rPr>
                <w:rFonts w:asciiTheme="majorHAnsi" w:hAnsiTheme="majorHAnsi" w:cstheme="majorHAnsi"/>
                <w:noProof/>
                <w:webHidden/>
              </w:rPr>
              <w:fldChar w:fldCharType="separate"/>
            </w:r>
            <w:r w:rsidR="00280402">
              <w:rPr>
                <w:rFonts w:asciiTheme="majorHAnsi" w:hAnsiTheme="majorHAnsi" w:cstheme="majorHAnsi"/>
                <w:noProof/>
                <w:webHidden/>
              </w:rPr>
              <w:t>8</w:t>
            </w:r>
            <w:r w:rsidR="007441D6" w:rsidRPr="006C7B09">
              <w:rPr>
                <w:rFonts w:asciiTheme="majorHAnsi" w:hAnsiTheme="majorHAnsi" w:cstheme="majorHAnsi"/>
                <w:noProof/>
                <w:webHidden/>
              </w:rPr>
              <w:fldChar w:fldCharType="end"/>
            </w:r>
          </w:hyperlink>
        </w:p>
        <w:p w:rsidR="007441D6" w:rsidRPr="006C7B09" w:rsidRDefault="009E5485">
          <w:pPr>
            <w:pStyle w:val="TOC1"/>
            <w:tabs>
              <w:tab w:val="left" w:pos="440"/>
              <w:tab w:val="right" w:leader="dot" w:pos="9350"/>
            </w:tabs>
            <w:rPr>
              <w:rFonts w:asciiTheme="majorHAnsi" w:hAnsiTheme="majorHAnsi" w:cstheme="majorHAnsi"/>
              <w:noProof/>
              <w:lang w:val="sr-Latn-RS" w:eastAsia="sr-Latn-RS"/>
            </w:rPr>
          </w:pPr>
          <w:hyperlink w:anchor="_Toc52283277" w:history="1">
            <w:r w:rsidR="007441D6" w:rsidRPr="006C7B09">
              <w:rPr>
                <w:rStyle w:val="Hyperlink"/>
                <w:rFonts w:asciiTheme="majorHAnsi" w:hAnsiTheme="majorHAnsi" w:cstheme="majorHAnsi"/>
                <w:noProof/>
              </w:rPr>
              <w:t>5</w:t>
            </w:r>
            <w:r w:rsidR="007441D6" w:rsidRPr="006C7B09">
              <w:rPr>
                <w:rFonts w:asciiTheme="majorHAnsi" w:hAnsiTheme="majorHAnsi" w:cstheme="majorHAnsi"/>
                <w:noProof/>
                <w:lang w:val="sr-Latn-RS" w:eastAsia="sr-Latn-RS"/>
              </w:rPr>
              <w:tab/>
            </w:r>
            <w:r w:rsidR="007441D6" w:rsidRPr="006C7B09">
              <w:rPr>
                <w:rStyle w:val="Hyperlink"/>
                <w:rFonts w:asciiTheme="majorHAnsi" w:hAnsiTheme="majorHAnsi" w:cstheme="majorHAnsi"/>
                <w:noProof/>
                <w:lang w:val="sr-Cyrl-RS"/>
              </w:rPr>
              <w:t>Ванредне ревизије</w:t>
            </w:r>
            <w:r w:rsidR="007441D6" w:rsidRPr="006C7B09">
              <w:rPr>
                <w:rFonts w:asciiTheme="majorHAnsi" w:hAnsiTheme="majorHAnsi" w:cstheme="majorHAnsi"/>
                <w:noProof/>
                <w:webHidden/>
              </w:rPr>
              <w:tab/>
            </w:r>
            <w:r w:rsidR="007441D6" w:rsidRPr="006C7B09">
              <w:rPr>
                <w:rFonts w:asciiTheme="majorHAnsi" w:hAnsiTheme="majorHAnsi" w:cstheme="majorHAnsi"/>
                <w:noProof/>
                <w:webHidden/>
              </w:rPr>
              <w:fldChar w:fldCharType="begin"/>
            </w:r>
            <w:r w:rsidR="007441D6" w:rsidRPr="006C7B09">
              <w:rPr>
                <w:rFonts w:asciiTheme="majorHAnsi" w:hAnsiTheme="majorHAnsi" w:cstheme="majorHAnsi"/>
                <w:noProof/>
                <w:webHidden/>
              </w:rPr>
              <w:instrText xml:space="preserve"> PAGEREF _Toc52283277 \h </w:instrText>
            </w:r>
            <w:r w:rsidR="007441D6" w:rsidRPr="006C7B09">
              <w:rPr>
                <w:rFonts w:asciiTheme="majorHAnsi" w:hAnsiTheme="majorHAnsi" w:cstheme="majorHAnsi"/>
                <w:noProof/>
                <w:webHidden/>
              </w:rPr>
            </w:r>
            <w:r w:rsidR="007441D6" w:rsidRPr="006C7B09">
              <w:rPr>
                <w:rFonts w:asciiTheme="majorHAnsi" w:hAnsiTheme="majorHAnsi" w:cstheme="majorHAnsi"/>
                <w:noProof/>
                <w:webHidden/>
              </w:rPr>
              <w:fldChar w:fldCharType="separate"/>
            </w:r>
            <w:r w:rsidR="00280402">
              <w:rPr>
                <w:rFonts w:asciiTheme="majorHAnsi" w:hAnsiTheme="majorHAnsi" w:cstheme="majorHAnsi"/>
                <w:noProof/>
                <w:webHidden/>
              </w:rPr>
              <w:t>10</w:t>
            </w:r>
            <w:r w:rsidR="007441D6" w:rsidRPr="006C7B09">
              <w:rPr>
                <w:rFonts w:asciiTheme="majorHAnsi" w:hAnsiTheme="majorHAnsi" w:cstheme="majorHAnsi"/>
                <w:noProof/>
                <w:webHidden/>
              </w:rPr>
              <w:fldChar w:fldCharType="end"/>
            </w:r>
          </w:hyperlink>
        </w:p>
        <w:p w:rsidR="008775ED" w:rsidRPr="006C7B09" w:rsidRDefault="008775ED" w:rsidP="004476DB">
          <w:pPr>
            <w:rPr>
              <w:rFonts w:asciiTheme="majorHAnsi" w:hAnsiTheme="majorHAnsi" w:cstheme="majorHAnsi"/>
            </w:rPr>
          </w:pPr>
          <w:r w:rsidRPr="006C7B09">
            <w:rPr>
              <w:rFonts w:asciiTheme="majorHAnsi" w:hAnsiTheme="majorHAnsi" w:cstheme="majorHAnsi"/>
              <w:b/>
              <w:bCs/>
              <w:noProof/>
            </w:rPr>
            <w:fldChar w:fldCharType="end"/>
          </w:r>
        </w:p>
      </w:sdtContent>
    </w:sdt>
    <w:p w:rsidR="008775ED" w:rsidRPr="006C7B09" w:rsidRDefault="008775ED" w:rsidP="008775ED">
      <w:pPr>
        <w:spacing w:after="0" w:line="276" w:lineRule="auto"/>
        <w:jc w:val="both"/>
        <w:rPr>
          <w:rFonts w:asciiTheme="majorHAnsi" w:eastAsiaTheme="minorHAnsi" w:hAnsiTheme="majorHAnsi" w:cstheme="majorHAnsi"/>
          <w:b/>
          <w:sz w:val="24"/>
          <w:szCs w:val="24"/>
        </w:rPr>
      </w:pPr>
    </w:p>
    <w:p w:rsidR="008775ED" w:rsidRPr="006C7B09" w:rsidRDefault="008775ED" w:rsidP="008775ED">
      <w:pPr>
        <w:spacing w:after="0" w:line="276" w:lineRule="auto"/>
        <w:jc w:val="both"/>
        <w:rPr>
          <w:rFonts w:asciiTheme="majorHAnsi" w:eastAsiaTheme="minorHAnsi" w:hAnsiTheme="majorHAnsi" w:cstheme="majorHAnsi"/>
          <w:b/>
          <w:sz w:val="24"/>
          <w:szCs w:val="24"/>
        </w:rPr>
      </w:pPr>
    </w:p>
    <w:p w:rsidR="008775ED" w:rsidRPr="006C7B09" w:rsidRDefault="008775ED" w:rsidP="008775ED">
      <w:pPr>
        <w:spacing w:after="0" w:line="276" w:lineRule="auto"/>
        <w:jc w:val="both"/>
        <w:rPr>
          <w:rFonts w:asciiTheme="majorHAnsi" w:eastAsiaTheme="minorHAnsi" w:hAnsiTheme="majorHAnsi" w:cstheme="majorHAnsi"/>
          <w:b/>
          <w:sz w:val="24"/>
          <w:szCs w:val="24"/>
        </w:rPr>
      </w:pPr>
    </w:p>
    <w:p w:rsidR="008775ED" w:rsidRPr="006C7B09" w:rsidRDefault="008775ED" w:rsidP="008775ED">
      <w:pPr>
        <w:spacing w:after="0" w:line="276" w:lineRule="auto"/>
        <w:jc w:val="both"/>
        <w:rPr>
          <w:rFonts w:asciiTheme="majorHAnsi" w:eastAsiaTheme="minorHAnsi" w:hAnsiTheme="majorHAnsi" w:cstheme="majorHAnsi"/>
          <w:b/>
          <w:sz w:val="24"/>
          <w:szCs w:val="24"/>
        </w:rPr>
      </w:pPr>
    </w:p>
    <w:p w:rsidR="008775ED" w:rsidRPr="006C7B09" w:rsidRDefault="008775ED" w:rsidP="008775ED">
      <w:pPr>
        <w:spacing w:after="0" w:line="276" w:lineRule="auto"/>
        <w:jc w:val="both"/>
        <w:rPr>
          <w:rFonts w:asciiTheme="majorHAnsi" w:eastAsiaTheme="minorHAnsi" w:hAnsiTheme="majorHAnsi" w:cstheme="majorHAnsi"/>
          <w:b/>
          <w:sz w:val="24"/>
          <w:szCs w:val="24"/>
        </w:rPr>
      </w:pPr>
    </w:p>
    <w:p w:rsidR="008775ED" w:rsidRPr="006C7B09" w:rsidRDefault="008775ED" w:rsidP="008775ED">
      <w:pPr>
        <w:spacing w:after="0" w:line="276" w:lineRule="auto"/>
        <w:jc w:val="both"/>
        <w:rPr>
          <w:rFonts w:asciiTheme="majorHAnsi" w:eastAsiaTheme="minorHAnsi" w:hAnsiTheme="majorHAnsi" w:cstheme="majorHAnsi"/>
          <w:b/>
          <w:sz w:val="24"/>
          <w:szCs w:val="24"/>
        </w:rPr>
      </w:pPr>
    </w:p>
    <w:p w:rsidR="008775ED" w:rsidRPr="006C7B09" w:rsidRDefault="008775ED" w:rsidP="008775ED">
      <w:pPr>
        <w:spacing w:after="0" w:line="276" w:lineRule="auto"/>
        <w:jc w:val="both"/>
        <w:rPr>
          <w:rFonts w:asciiTheme="majorHAnsi" w:eastAsiaTheme="minorHAnsi" w:hAnsiTheme="majorHAnsi" w:cstheme="majorHAnsi"/>
          <w:b/>
          <w:sz w:val="24"/>
          <w:szCs w:val="24"/>
        </w:rPr>
      </w:pPr>
    </w:p>
    <w:p w:rsidR="008775ED" w:rsidRPr="006C7B09" w:rsidRDefault="008775ED" w:rsidP="008775ED">
      <w:pPr>
        <w:spacing w:after="0" w:line="276" w:lineRule="auto"/>
        <w:jc w:val="both"/>
        <w:rPr>
          <w:rFonts w:asciiTheme="majorHAnsi" w:eastAsiaTheme="minorHAnsi" w:hAnsiTheme="majorHAnsi" w:cstheme="majorHAnsi"/>
          <w:b/>
          <w:sz w:val="24"/>
          <w:szCs w:val="24"/>
        </w:rPr>
      </w:pPr>
    </w:p>
    <w:p w:rsidR="008775ED" w:rsidRPr="006C7B09" w:rsidRDefault="008775ED" w:rsidP="008775ED">
      <w:pPr>
        <w:spacing w:after="0" w:line="276" w:lineRule="auto"/>
        <w:jc w:val="both"/>
        <w:rPr>
          <w:rFonts w:asciiTheme="majorHAnsi" w:eastAsiaTheme="minorHAnsi" w:hAnsiTheme="majorHAnsi" w:cstheme="majorHAnsi"/>
          <w:b/>
          <w:sz w:val="24"/>
          <w:szCs w:val="24"/>
        </w:rPr>
      </w:pPr>
    </w:p>
    <w:p w:rsidR="008775ED" w:rsidRPr="006C7B09" w:rsidRDefault="008775ED" w:rsidP="008775ED">
      <w:pPr>
        <w:spacing w:after="0" w:line="276" w:lineRule="auto"/>
        <w:jc w:val="both"/>
        <w:rPr>
          <w:rFonts w:asciiTheme="majorHAnsi" w:eastAsiaTheme="minorHAnsi" w:hAnsiTheme="majorHAnsi" w:cstheme="majorHAnsi"/>
          <w:b/>
          <w:sz w:val="24"/>
          <w:szCs w:val="24"/>
        </w:rPr>
      </w:pPr>
    </w:p>
    <w:p w:rsidR="008775ED" w:rsidRPr="006C7B09" w:rsidRDefault="008775ED" w:rsidP="008775ED">
      <w:pPr>
        <w:spacing w:after="0" w:line="276" w:lineRule="auto"/>
        <w:jc w:val="both"/>
        <w:rPr>
          <w:rFonts w:asciiTheme="majorHAnsi" w:eastAsiaTheme="minorHAnsi" w:hAnsiTheme="majorHAnsi" w:cstheme="majorHAnsi"/>
          <w:b/>
          <w:sz w:val="24"/>
          <w:szCs w:val="24"/>
        </w:rPr>
      </w:pPr>
    </w:p>
    <w:p w:rsidR="008775ED" w:rsidRPr="006C7B09" w:rsidRDefault="008775ED" w:rsidP="008775ED">
      <w:pPr>
        <w:spacing w:after="0" w:line="276" w:lineRule="auto"/>
        <w:jc w:val="both"/>
        <w:rPr>
          <w:rFonts w:asciiTheme="majorHAnsi" w:eastAsiaTheme="minorHAnsi" w:hAnsiTheme="majorHAnsi" w:cstheme="majorHAnsi"/>
          <w:b/>
          <w:sz w:val="24"/>
          <w:szCs w:val="24"/>
        </w:rPr>
      </w:pPr>
    </w:p>
    <w:p w:rsidR="004476DB" w:rsidRPr="006C7B09" w:rsidRDefault="004476DB" w:rsidP="008775ED">
      <w:pPr>
        <w:spacing w:after="0" w:line="276" w:lineRule="auto"/>
        <w:jc w:val="both"/>
        <w:rPr>
          <w:rFonts w:asciiTheme="majorHAnsi" w:eastAsiaTheme="minorHAnsi" w:hAnsiTheme="majorHAnsi" w:cstheme="majorHAnsi"/>
          <w:b/>
          <w:sz w:val="24"/>
          <w:szCs w:val="24"/>
        </w:rPr>
      </w:pPr>
    </w:p>
    <w:p w:rsidR="008775ED" w:rsidRPr="006C7B09" w:rsidRDefault="008775ED" w:rsidP="008775ED">
      <w:pPr>
        <w:spacing w:after="0" w:line="276" w:lineRule="auto"/>
        <w:jc w:val="both"/>
        <w:rPr>
          <w:rFonts w:asciiTheme="majorHAnsi" w:eastAsiaTheme="minorHAnsi" w:hAnsiTheme="majorHAnsi" w:cstheme="majorHAnsi"/>
          <w:b/>
          <w:sz w:val="24"/>
          <w:szCs w:val="24"/>
        </w:rPr>
      </w:pPr>
    </w:p>
    <w:p w:rsidR="00CA16E9" w:rsidRPr="006C7B09" w:rsidRDefault="00CA16E9" w:rsidP="008775ED">
      <w:pPr>
        <w:spacing w:after="0" w:line="276" w:lineRule="auto"/>
        <w:jc w:val="both"/>
        <w:rPr>
          <w:rFonts w:asciiTheme="majorHAnsi" w:eastAsiaTheme="minorHAnsi" w:hAnsiTheme="majorHAnsi" w:cstheme="majorHAnsi"/>
          <w:b/>
          <w:sz w:val="24"/>
          <w:szCs w:val="24"/>
        </w:rPr>
      </w:pPr>
    </w:p>
    <w:p w:rsidR="008775ED" w:rsidRPr="006C7B09" w:rsidRDefault="003E6EF1" w:rsidP="008775ED">
      <w:pPr>
        <w:pStyle w:val="Heading1"/>
        <w:rPr>
          <w:rFonts w:eastAsiaTheme="minorHAnsi" w:cstheme="majorHAnsi"/>
        </w:rPr>
      </w:pPr>
      <w:bookmarkStart w:id="0" w:name="_Toc52283273"/>
      <w:r w:rsidRPr="006C7B09">
        <w:rPr>
          <w:rFonts w:eastAsiaTheme="minorHAnsi" w:cstheme="majorHAnsi"/>
        </w:rPr>
        <w:lastRenderedPageBreak/>
        <w:t>Увод</w:t>
      </w:r>
      <w:bookmarkEnd w:id="0"/>
    </w:p>
    <w:p w:rsidR="008775ED" w:rsidRPr="006C7B09" w:rsidRDefault="008775ED" w:rsidP="008775ED">
      <w:pPr>
        <w:spacing w:after="0" w:line="276" w:lineRule="auto"/>
        <w:jc w:val="both"/>
        <w:rPr>
          <w:rFonts w:asciiTheme="majorHAnsi" w:eastAsiaTheme="minorHAnsi" w:hAnsiTheme="majorHAnsi" w:cstheme="majorHAnsi"/>
          <w:sz w:val="18"/>
          <w:szCs w:val="18"/>
        </w:rPr>
      </w:pPr>
    </w:p>
    <w:p w:rsidR="006F1BE2" w:rsidRPr="006C7B09" w:rsidRDefault="000C6838" w:rsidP="008775ED">
      <w:pPr>
        <w:spacing w:after="0" w:line="276" w:lineRule="auto"/>
        <w:jc w:val="both"/>
        <w:rPr>
          <w:rFonts w:asciiTheme="majorHAnsi" w:eastAsiaTheme="minorHAnsi" w:hAnsiTheme="majorHAnsi" w:cstheme="majorHAnsi"/>
          <w:sz w:val="20"/>
          <w:szCs w:val="20"/>
          <w:lang w:val="sr-Cyrl-RS"/>
        </w:rPr>
      </w:pPr>
      <w:r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Сврха овог </w:t>
      </w:r>
      <w:r w:rsidR="00A12A1B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>документ</w:t>
      </w:r>
      <w:r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>а</w:t>
      </w:r>
      <w:r w:rsidR="00A12A1B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 </w:t>
      </w:r>
      <w:r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>је</w:t>
      </w:r>
      <w:r w:rsidR="00D479B8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>сте</w:t>
      </w:r>
      <w:r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 </w:t>
      </w:r>
      <w:r w:rsidR="00A12A1B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да </w:t>
      </w:r>
      <w:r w:rsidR="00D479B8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>прикаже</w:t>
      </w:r>
      <w:r w:rsidR="006F1BE2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 </w:t>
      </w:r>
      <w:r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основне </w:t>
      </w:r>
      <w:r w:rsidR="006F1BE2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принципе и стандарде </w:t>
      </w:r>
      <w:r w:rsidR="00D479B8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за спровођење </w:t>
      </w:r>
      <w:r w:rsidR="006F1BE2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>реви</w:t>
      </w:r>
      <w:r w:rsidR="00D479B8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зија </w:t>
      </w:r>
      <w:r w:rsidR="006F1BE2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>објављених података националних рачуна</w:t>
      </w:r>
      <w:r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, који се заснивају на </w:t>
      </w:r>
      <w:r w:rsidR="006F1BE2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>Европском систему националних и регионалних рачуна</w:t>
      </w:r>
      <w:r w:rsidR="00A12A1B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 (</w:t>
      </w:r>
      <w:r w:rsidR="00E2507B" w:rsidRPr="006C7B09">
        <w:rPr>
          <w:rFonts w:asciiTheme="majorHAnsi" w:eastAsiaTheme="minorHAnsi" w:hAnsiTheme="majorHAnsi" w:cstheme="majorHAnsi"/>
          <w:i/>
          <w:sz w:val="20"/>
          <w:szCs w:val="20"/>
        </w:rPr>
        <w:t>European System of National and Regional Accounts</w:t>
      </w:r>
      <w:r w:rsidR="001F6B50" w:rsidRPr="006C7B09">
        <w:rPr>
          <w:rFonts w:asciiTheme="majorHAnsi" w:eastAsiaTheme="minorHAnsi" w:hAnsiTheme="majorHAnsi" w:cstheme="majorHAnsi"/>
          <w:i/>
          <w:sz w:val="20"/>
          <w:szCs w:val="20"/>
          <w:lang w:val="sr-Cyrl-RS"/>
        </w:rPr>
        <w:t xml:space="preserve"> -</w:t>
      </w:r>
      <w:r w:rsidR="00E2507B" w:rsidRPr="006C7B09">
        <w:rPr>
          <w:rFonts w:asciiTheme="majorHAnsi" w:hAnsiTheme="majorHAnsi" w:cstheme="majorHAnsi"/>
        </w:rPr>
        <w:t xml:space="preserve"> </w:t>
      </w:r>
      <w:r w:rsidRPr="006C7B09">
        <w:rPr>
          <w:rFonts w:asciiTheme="majorHAnsi" w:eastAsiaTheme="minorHAnsi" w:hAnsiTheme="majorHAnsi" w:cstheme="majorHAnsi"/>
          <w:i/>
          <w:sz w:val="20"/>
          <w:szCs w:val="20"/>
          <w:lang w:val="sr-Cyrl-RS"/>
        </w:rPr>
        <w:t>ESA 2010</w:t>
      </w:r>
      <w:r w:rsidR="00A12A1B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>). Политика ревизије</w:t>
      </w:r>
      <w:r w:rsidR="006F1BE2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 Републичког завода за статистику (РЗС) </w:t>
      </w:r>
      <w:r w:rsidR="00D479B8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у потпуности је усклађена </w:t>
      </w:r>
      <w:r w:rsidR="006F1BE2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са националним календаром објављивања и са водећим принципима </w:t>
      </w:r>
      <w:r w:rsidR="00AE5681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>Хармонизоване</w:t>
      </w:r>
      <w:r w:rsidR="006F1BE2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 европске </w:t>
      </w:r>
      <w:r w:rsidR="00AE5681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политике </w:t>
      </w:r>
      <w:r w:rsidR="006F1BE2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>ревиз</w:t>
      </w:r>
      <w:r w:rsidR="00AE5681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>иј</w:t>
      </w:r>
      <w:r w:rsidR="00E11755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>а</w:t>
      </w:r>
      <w:r w:rsidR="006F1BE2" w:rsidRPr="006C7B09">
        <w:rPr>
          <w:rStyle w:val="FootnoteReference"/>
          <w:rFonts w:asciiTheme="majorHAnsi" w:eastAsiaTheme="minorHAnsi" w:hAnsiTheme="majorHAnsi" w:cstheme="majorHAnsi"/>
          <w:sz w:val="20"/>
          <w:szCs w:val="20"/>
          <w:lang w:val="sr-Cyrl-RS"/>
        </w:rPr>
        <w:footnoteReference w:id="1"/>
      </w:r>
      <w:r w:rsidR="006F1BE2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 и препорукама Е</w:t>
      </w:r>
      <w:r w:rsidR="005A4E82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>в</w:t>
      </w:r>
      <w:r w:rsidR="006F1BE2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>ростата о реви</w:t>
      </w:r>
      <w:r w:rsidR="005A4E82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>д</w:t>
      </w:r>
      <w:r w:rsidR="006F1BE2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>и</w:t>
      </w:r>
      <w:r w:rsidR="005A4E82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>рању</w:t>
      </w:r>
      <w:r w:rsidR="0099402A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 података националних рачуна обрачунатих у складу са </w:t>
      </w:r>
      <w:r w:rsidR="005A4E82" w:rsidRPr="006C7B09">
        <w:rPr>
          <w:rFonts w:asciiTheme="majorHAnsi" w:eastAsiaTheme="minorHAnsi" w:hAnsiTheme="majorHAnsi" w:cstheme="majorHAnsi"/>
          <w:i/>
          <w:sz w:val="20"/>
          <w:szCs w:val="20"/>
          <w:lang w:val="sr-Cyrl-RS"/>
        </w:rPr>
        <w:t>ESA 2010</w:t>
      </w:r>
      <w:r w:rsidR="006F1BE2" w:rsidRPr="006C7B09">
        <w:rPr>
          <w:rStyle w:val="FootnoteReference"/>
          <w:rFonts w:asciiTheme="majorHAnsi" w:eastAsiaTheme="minorHAnsi" w:hAnsiTheme="majorHAnsi" w:cstheme="majorHAnsi"/>
          <w:sz w:val="20"/>
          <w:szCs w:val="20"/>
          <w:lang w:val="sr-Cyrl-RS"/>
        </w:rPr>
        <w:footnoteReference w:id="2"/>
      </w:r>
      <w:r w:rsidR="006F1BE2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>.</w:t>
      </w:r>
    </w:p>
    <w:p w:rsidR="008775ED" w:rsidRPr="006C7B09" w:rsidRDefault="00A12A1B" w:rsidP="008775ED">
      <w:pPr>
        <w:spacing w:after="0" w:line="276" w:lineRule="auto"/>
        <w:jc w:val="both"/>
        <w:rPr>
          <w:rFonts w:asciiTheme="majorHAnsi" w:eastAsiaTheme="minorHAnsi" w:hAnsiTheme="majorHAnsi" w:cstheme="majorHAnsi"/>
          <w:sz w:val="20"/>
          <w:szCs w:val="20"/>
          <w:lang w:val="sr-Latn-RS"/>
        </w:rPr>
      </w:pPr>
      <w:r w:rsidRPr="006C7B09">
        <w:rPr>
          <w:rFonts w:asciiTheme="majorHAnsi" w:hAnsiTheme="majorHAnsi" w:cstheme="majorHAnsi"/>
        </w:rPr>
        <w:br/>
      </w:r>
      <w:r w:rsidRPr="00C72A34">
        <w:rPr>
          <w:rFonts w:asciiTheme="majorHAnsi" w:eastAsiaTheme="minorHAnsi" w:hAnsiTheme="majorHAnsi" w:cstheme="majorHAnsi"/>
          <w:sz w:val="20"/>
          <w:szCs w:val="20"/>
          <w:lang w:val="sr-Cyrl-RS"/>
        </w:rPr>
        <w:t>Политика ревизиј</w:t>
      </w:r>
      <w:r w:rsidR="00E11755" w:rsidRPr="00C72A34">
        <w:rPr>
          <w:rFonts w:asciiTheme="majorHAnsi" w:eastAsiaTheme="minorHAnsi" w:hAnsiTheme="majorHAnsi" w:cstheme="majorHAnsi"/>
          <w:sz w:val="20"/>
          <w:szCs w:val="20"/>
          <w:lang w:val="sr-Cyrl-RS"/>
        </w:rPr>
        <w:t>а</w:t>
      </w:r>
      <w:r w:rsidRPr="00C72A34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 </w:t>
      </w:r>
      <w:r w:rsidR="00E11755" w:rsidRPr="00C72A34">
        <w:rPr>
          <w:rFonts w:asciiTheme="majorHAnsi" w:eastAsiaTheme="minorHAnsi" w:hAnsiTheme="majorHAnsi" w:cstheme="majorHAnsi"/>
          <w:sz w:val="20"/>
          <w:szCs w:val="20"/>
          <w:lang w:val="sr-Cyrl-RS"/>
        </w:rPr>
        <w:t>утврђује општа</w:t>
      </w:r>
      <w:r w:rsidRPr="00C72A34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 правила ревизиј</w:t>
      </w:r>
      <w:r w:rsidR="00E11755" w:rsidRPr="00C72A34">
        <w:rPr>
          <w:rFonts w:asciiTheme="majorHAnsi" w:eastAsiaTheme="minorHAnsi" w:hAnsiTheme="majorHAnsi" w:cstheme="majorHAnsi"/>
          <w:sz w:val="20"/>
          <w:szCs w:val="20"/>
          <w:lang w:val="sr-Cyrl-RS"/>
        </w:rPr>
        <w:t>а</w:t>
      </w:r>
      <w:r w:rsidRPr="00C72A34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 објављених </w:t>
      </w:r>
      <w:r w:rsidR="00E11755" w:rsidRPr="00C72A34">
        <w:rPr>
          <w:rFonts w:asciiTheme="majorHAnsi" w:eastAsiaTheme="minorHAnsi" w:hAnsiTheme="majorHAnsi" w:cstheme="majorHAnsi"/>
          <w:sz w:val="20"/>
          <w:szCs w:val="20"/>
          <w:lang w:val="sr-Cyrl-RS"/>
        </w:rPr>
        <w:t>података</w:t>
      </w:r>
      <w:r w:rsidRPr="00C72A34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, </w:t>
      </w:r>
      <w:r w:rsidR="00797A3F" w:rsidRPr="00C72A34">
        <w:rPr>
          <w:rFonts w:asciiTheme="majorHAnsi" w:eastAsiaTheme="minorHAnsi" w:hAnsiTheme="majorHAnsi" w:cstheme="majorHAnsi"/>
          <w:sz w:val="20"/>
          <w:szCs w:val="20"/>
          <w:lang w:val="sr-Cyrl-RS"/>
        </w:rPr>
        <w:t>начине</w:t>
      </w:r>
      <w:r w:rsidRPr="00C72A34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 информиса</w:t>
      </w:r>
      <w:r w:rsidR="00280D12" w:rsidRPr="00C72A34">
        <w:rPr>
          <w:rFonts w:asciiTheme="majorHAnsi" w:eastAsiaTheme="minorHAnsi" w:hAnsiTheme="majorHAnsi" w:cstheme="majorHAnsi"/>
          <w:sz w:val="20"/>
          <w:szCs w:val="20"/>
          <w:lang w:val="sr-Cyrl-RS"/>
        </w:rPr>
        <w:t>ња</w:t>
      </w:r>
      <w:r w:rsidRPr="00C72A34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 корисник</w:t>
      </w:r>
      <w:r w:rsidR="00280D12" w:rsidRPr="00C72A34">
        <w:rPr>
          <w:rFonts w:asciiTheme="majorHAnsi" w:eastAsiaTheme="minorHAnsi" w:hAnsiTheme="majorHAnsi" w:cstheme="majorHAnsi"/>
          <w:sz w:val="20"/>
          <w:szCs w:val="20"/>
          <w:lang w:val="sr-Cyrl-RS"/>
        </w:rPr>
        <w:t>а</w:t>
      </w:r>
      <w:r w:rsidRPr="00C72A34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 </w:t>
      </w:r>
      <w:r w:rsidR="00280D12" w:rsidRPr="00C72A34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у вези са </w:t>
      </w:r>
      <w:r w:rsidRPr="00C72A34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могућим узроцима ревизија, </w:t>
      </w:r>
      <w:r w:rsidR="00280D12" w:rsidRPr="00C72A34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категоризацију </w:t>
      </w:r>
      <w:r w:rsidRPr="00C72A34">
        <w:rPr>
          <w:rFonts w:asciiTheme="majorHAnsi" w:eastAsiaTheme="minorHAnsi" w:hAnsiTheme="majorHAnsi" w:cstheme="majorHAnsi"/>
          <w:sz w:val="20"/>
          <w:szCs w:val="20"/>
          <w:lang w:val="sr-Cyrl-RS"/>
        </w:rPr>
        <w:t>ревизија и документациј</w:t>
      </w:r>
      <w:r w:rsidR="00280D12" w:rsidRPr="00C72A34">
        <w:rPr>
          <w:rFonts w:asciiTheme="majorHAnsi" w:eastAsiaTheme="minorHAnsi" w:hAnsiTheme="majorHAnsi" w:cstheme="majorHAnsi"/>
          <w:sz w:val="20"/>
          <w:szCs w:val="20"/>
          <w:lang w:val="sr-Cyrl-RS"/>
        </w:rPr>
        <w:t>у</w:t>
      </w:r>
      <w:r w:rsidRPr="00C72A34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 која покрива све аспекте ревизиј</w:t>
      </w:r>
      <w:r w:rsidR="00280D12" w:rsidRPr="00C72A34">
        <w:rPr>
          <w:rFonts w:asciiTheme="majorHAnsi" w:eastAsiaTheme="minorHAnsi" w:hAnsiTheme="majorHAnsi" w:cstheme="majorHAnsi"/>
          <w:sz w:val="20"/>
          <w:szCs w:val="20"/>
          <w:lang w:val="sr-Cyrl-RS"/>
        </w:rPr>
        <w:t>а</w:t>
      </w:r>
      <w:r w:rsidRPr="00C72A34">
        <w:rPr>
          <w:rFonts w:asciiTheme="majorHAnsi" w:eastAsiaTheme="minorHAnsi" w:hAnsiTheme="majorHAnsi" w:cstheme="majorHAnsi"/>
          <w:sz w:val="20"/>
          <w:szCs w:val="20"/>
          <w:lang w:val="sr-Cyrl-RS"/>
        </w:rPr>
        <w:t>.</w:t>
      </w:r>
    </w:p>
    <w:p w:rsidR="008775ED" w:rsidRPr="006C7B09" w:rsidRDefault="008775ED" w:rsidP="008775ED">
      <w:pPr>
        <w:spacing w:after="0" w:line="276" w:lineRule="auto"/>
        <w:jc w:val="both"/>
        <w:rPr>
          <w:rFonts w:asciiTheme="majorHAnsi" w:eastAsiaTheme="minorHAnsi" w:hAnsiTheme="majorHAnsi" w:cstheme="majorHAnsi"/>
          <w:sz w:val="20"/>
          <w:szCs w:val="20"/>
        </w:rPr>
      </w:pPr>
    </w:p>
    <w:p w:rsidR="006A49FD" w:rsidRPr="006C7B09" w:rsidRDefault="006A49FD" w:rsidP="008775ED">
      <w:pPr>
        <w:spacing w:after="0" w:line="276" w:lineRule="auto"/>
        <w:jc w:val="both"/>
        <w:rPr>
          <w:rFonts w:asciiTheme="majorHAnsi" w:eastAsiaTheme="minorHAnsi" w:hAnsiTheme="majorHAnsi" w:cstheme="majorHAnsi"/>
          <w:sz w:val="20"/>
          <w:szCs w:val="20"/>
          <w:lang w:val="sr-Cyrl-RS"/>
        </w:rPr>
      </w:pPr>
      <w:r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Систем националних рачуна представља макроекономски систем података који </w:t>
      </w:r>
      <w:r w:rsidR="00A55EF5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>пружају</w:t>
      </w:r>
      <w:r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 увид у укупну економију. </w:t>
      </w:r>
      <w:r w:rsidR="00A55EF5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>Национални р</w:t>
      </w:r>
      <w:r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ачуни заузимају централну позицију у статистичком систему и важна су основа за управљање економском политиком и </w:t>
      </w:r>
      <w:r w:rsidR="00A55EF5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доношење </w:t>
      </w:r>
      <w:r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>одлу</w:t>
      </w:r>
      <w:r w:rsidR="00A55EF5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>ка</w:t>
      </w:r>
      <w:r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>, јер омогућавају мерење нивоа економског развоја, стопе економског раста, промена у производњи, потрошњи, штедњ</w:t>
      </w:r>
      <w:r w:rsidR="0044073B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и, </w:t>
      </w:r>
      <w:r w:rsidR="00A55EF5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>инвестицијама</w:t>
      </w:r>
      <w:r w:rsidR="0044073B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 у основна средства</w:t>
      </w:r>
      <w:r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>, извоз</w:t>
      </w:r>
      <w:r w:rsidR="00B95A30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>у</w:t>
      </w:r>
      <w:r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 и увоз</w:t>
      </w:r>
      <w:r w:rsidR="00B95A30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>у</w:t>
      </w:r>
      <w:r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. </w:t>
      </w:r>
    </w:p>
    <w:p w:rsidR="001524C8" w:rsidRPr="006C7B09" w:rsidRDefault="001524C8" w:rsidP="008775ED">
      <w:pPr>
        <w:spacing w:after="0" w:line="276" w:lineRule="auto"/>
        <w:jc w:val="both"/>
        <w:rPr>
          <w:rFonts w:asciiTheme="majorHAnsi" w:eastAsiaTheme="minorHAnsi" w:hAnsiTheme="majorHAnsi" w:cstheme="majorHAnsi"/>
          <w:sz w:val="20"/>
          <w:szCs w:val="20"/>
          <w:lang w:val="sr-Cyrl-RS"/>
        </w:rPr>
      </w:pPr>
    </w:p>
    <w:p w:rsidR="001524C8" w:rsidRPr="006C7B09" w:rsidRDefault="001524C8" w:rsidP="008775ED">
      <w:pPr>
        <w:spacing w:after="0" w:line="276" w:lineRule="auto"/>
        <w:jc w:val="both"/>
        <w:rPr>
          <w:rFonts w:asciiTheme="majorHAnsi" w:eastAsiaTheme="minorHAnsi" w:hAnsiTheme="majorHAnsi" w:cstheme="majorHAnsi"/>
          <w:sz w:val="20"/>
          <w:szCs w:val="20"/>
          <w:lang w:val="sr-Cyrl-RS"/>
        </w:rPr>
      </w:pPr>
      <w:r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>Дефинисањем политике ревизија РЗС прати визију интегрисаног статистичког система, у којем су публиковање и ревизије података координирани и синхронизовани, а транспарентност за кориснике обезбеђена јасним презентовањем политике ревизија и статистичке праксе.</w:t>
      </w:r>
    </w:p>
    <w:p w:rsidR="008775ED" w:rsidRPr="006C7B09" w:rsidRDefault="008775ED" w:rsidP="008775ED">
      <w:pPr>
        <w:spacing w:after="0" w:line="276" w:lineRule="auto"/>
        <w:jc w:val="both"/>
        <w:rPr>
          <w:rFonts w:asciiTheme="majorHAnsi" w:eastAsiaTheme="minorHAnsi" w:hAnsiTheme="majorHAnsi" w:cstheme="majorHAnsi"/>
          <w:sz w:val="20"/>
          <w:szCs w:val="20"/>
        </w:rPr>
      </w:pPr>
    </w:p>
    <w:p w:rsidR="008775ED" w:rsidRPr="00265181" w:rsidRDefault="00733A3C" w:rsidP="00265181">
      <w:pPr>
        <w:spacing w:line="276" w:lineRule="auto"/>
        <w:jc w:val="both"/>
        <w:rPr>
          <w:rFonts w:asciiTheme="majorHAnsi" w:eastAsiaTheme="minorHAnsi" w:hAnsiTheme="majorHAnsi" w:cstheme="majorHAnsi"/>
          <w:sz w:val="20"/>
          <w:szCs w:val="20"/>
          <w:lang w:val="sr-Cyrl-RS"/>
        </w:rPr>
      </w:pPr>
      <w:r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Политика ревизије </w:t>
      </w:r>
      <w:r w:rsidR="003F511A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>националних рачуна обухвата све</w:t>
      </w:r>
      <w:r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 објављен</w:t>
      </w:r>
      <w:r w:rsidR="003F511A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>е</w:t>
      </w:r>
      <w:r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 квар</w:t>
      </w:r>
      <w:r w:rsidR="003F511A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>талне и годишње серије</w:t>
      </w:r>
      <w:r w:rsidR="00D2248B" w:rsidRPr="006C7B09">
        <w:rPr>
          <w:rFonts w:asciiTheme="majorHAnsi" w:eastAsiaTheme="minorHAnsi" w:hAnsiTheme="majorHAnsi" w:cstheme="majorHAnsi"/>
          <w:sz w:val="20"/>
          <w:szCs w:val="20"/>
          <w:lang w:val="sr-Latn-RS"/>
        </w:rPr>
        <w:t xml:space="preserve"> </w:t>
      </w:r>
      <w:r w:rsidR="00D2248B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>података</w:t>
      </w:r>
      <w:r w:rsidR="003F511A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 </w:t>
      </w:r>
      <w:r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у оквиру националних рачуна. </w:t>
      </w:r>
      <w:r w:rsidR="00D2248B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То подразумева </w:t>
      </w:r>
      <w:r w:rsidR="003F511A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>све серије</w:t>
      </w:r>
      <w:r w:rsidR="00D2248B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 података</w:t>
      </w:r>
      <w:r w:rsidR="003F511A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 </w:t>
      </w:r>
      <w:r w:rsidR="00D2248B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из </w:t>
      </w:r>
      <w:r w:rsidR="003F511A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>следећи</w:t>
      </w:r>
      <w:r w:rsidR="00D2248B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>х</w:t>
      </w:r>
      <w:r w:rsidR="003F511A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 статистички</w:t>
      </w:r>
      <w:r w:rsidR="00D2248B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>х</w:t>
      </w:r>
      <w:r w:rsidR="003F511A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 области:</w:t>
      </w:r>
    </w:p>
    <w:p w:rsidR="003F511A" w:rsidRPr="006C7B09" w:rsidRDefault="00D2248B" w:rsidP="008775ED">
      <w:pPr>
        <w:numPr>
          <w:ilvl w:val="0"/>
          <w:numId w:val="11"/>
        </w:numPr>
        <w:spacing w:after="0" w:line="276" w:lineRule="auto"/>
        <w:contextualSpacing/>
        <w:jc w:val="both"/>
        <w:rPr>
          <w:rFonts w:asciiTheme="majorHAnsi" w:eastAsiaTheme="minorHAnsi" w:hAnsiTheme="majorHAnsi" w:cstheme="majorHAnsi"/>
          <w:sz w:val="20"/>
          <w:szCs w:val="20"/>
        </w:rPr>
      </w:pPr>
      <w:r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>основни</w:t>
      </w:r>
      <w:r w:rsidR="003F511A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 агрегати националних рачуна, годиш</w:t>
      </w:r>
      <w:r w:rsidR="007248F0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>њ</w:t>
      </w:r>
      <w:r w:rsidR="003F511A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>и и квартални подаци;</w:t>
      </w:r>
    </w:p>
    <w:p w:rsidR="003F511A" w:rsidRPr="006C7B09" w:rsidRDefault="003F511A" w:rsidP="008775ED">
      <w:pPr>
        <w:numPr>
          <w:ilvl w:val="0"/>
          <w:numId w:val="11"/>
        </w:numPr>
        <w:spacing w:after="0" w:line="276" w:lineRule="auto"/>
        <w:contextualSpacing/>
        <w:jc w:val="both"/>
        <w:rPr>
          <w:rFonts w:asciiTheme="majorHAnsi" w:eastAsiaTheme="minorHAnsi" w:hAnsiTheme="majorHAnsi" w:cstheme="majorHAnsi"/>
          <w:sz w:val="20"/>
          <w:szCs w:val="20"/>
        </w:rPr>
      </w:pPr>
      <w:r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>нефинансијск</w:t>
      </w:r>
      <w:r w:rsidR="00B95A30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>и</w:t>
      </w:r>
      <w:r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 сектор</w:t>
      </w:r>
      <w:r w:rsidR="00B95A30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>ски рачуни</w:t>
      </w:r>
      <w:r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>, годишњи подаци;</w:t>
      </w:r>
    </w:p>
    <w:p w:rsidR="003F511A" w:rsidRPr="006C7B09" w:rsidRDefault="003F511A" w:rsidP="008775ED">
      <w:pPr>
        <w:numPr>
          <w:ilvl w:val="0"/>
          <w:numId w:val="11"/>
        </w:numPr>
        <w:spacing w:after="0" w:line="276" w:lineRule="auto"/>
        <w:contextualSpacing/>
        <w:jc w:val="both"/>
        <w:rPr>
          <w:rFonts w:asciiTheme="majorHAnsi" w:eastAsiaTheme="minorHAnsi" w:hAnsiTheme="majorHAnsi" w:cstheme="majorHAnsi"/>
          <w:sz w:val="20"/>
          <w:szCs w:val="20"/>
        </w:rPr>
      </w:pPr>
      <w:r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>статистика државних финансија;</w:t>
      </w:r>
    </w:p>
    <w:p w:rsidR="003F511A" w:rsidRPr="006C7B09" w:rsidRDefault="003F511A" w:rsidP="008775ED">
      <w:pPr>
        <w:numPr>
          <w:ilvl w:val="0"/>
          <w:numId w:val="11"/>
        </w:numPr>
        <w:spacing w:after="0" w:line="276" w:lineRule="auto"/>
        <w:contextualSpacing/>
        <w:jc w:val="both"/>
        <w:rPr>
          <w:rFonts w:asciiTheme="majorHAnsi" w:eastAsiaTheme="minorHAnsi" w:hAnsiTheme="majorHAnsi" w:cstheme="majorHAnsi"/>
          <w:sz w:val="20"/>
          <w:szCs w:val="20"/>
        </w:rPr>
      </w:pPr>
      <w:r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>табеле понуде и употребе и инпут-аутпут табеле</w:t>
      </w:r>
      <w:r w:rsidR="005235BE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 </w:t>
      </w:r>
      <w:r w:rsidR="00B419F6">
        <w:rPr>
          <w:rFonts w:ascii="Arial" w:eastAsiaTheme="minorHAnsi" w:hAnsi="Arial" w:cs="Arial"/>
          <w:sz w:val="20"/>
          <w:szCs w:val="20"/>
          <w:lang w:val="sr-Cyrl-RS"/>
        </w:rPr>
        <w:t>‒</w:t>
      </w:r>
      <w:r w:rsidR="005235BE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 </w:t>
      </w:r>
      <w:r w:rsidR="00441D3C" w:rsidRPr="006C7B09">
        <w:rPr>
          <w:rFonts w:asciiTheme="majorHAnsi" w:eastAsiaTheme="minorHAnsi" w:hAnsiTheme="majorHAnsi" w:cstheme="majorHAnsi"/>
          <w:i/>
          <w:sz w:val="20"/>
          <w:szCs w:val="20"/>
        </w:rPr>
        <w:t>SUT-IOT</w:t>
      </w:r>
      <w:r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>;</w:t>
      </w:r>
    </w:p>
    <w:p w:rsidR="003F511A" w:rsidRPr="006C7B09" w:rsidRDefault="003F511A" w:rsidP="008775ED">
      <w:pPr>
        <w:numPr>
          <w:ilvl w:val="0"/>
          <w:numId w:val="11"/>
        </w:numPr>
        <w:spacing w:after="0" w:line="276" w:lineRule="auto"/>
        <w:contextualSpacing/>
        <w:jc w:val="both"/>
        <w:rPr>
          <w:rFonts w:asciiTheme="majorHAnsi" w:eastAsiaTheme="minorHAnsi" w:hAnsiTheme="majorHAnsi" w:cstheme="majorHAnsi"/>
          <w:sz w:val="20"/>
          <w:szCs w:val="20"/>
        </w:rPr>
      </w:pPr>
      <w:r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>регионални рачуни</w:t>
      </w:r>
      <w:r w:rsidR="00691FAE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>.</w:t>
      </w:r>
    </w:p>
    <w:p w:rsidR="003F511A" w:rsidRPr="006C7B09" w:rsidRDefault="003F511A" w:rsidP="00691FAE">
      <w:pPr>
        <w:spacing w:after="0" w:line="276" w:lineRule="auto"/>
        <w:ind w:left="720"/>
        <w:contextualSpacing/>
        <w:jc w:val="both"/>
        <w:rPr>
          <w:rFonts w:asciiTheme="majorHAnsi" w:eastAsiaTheme="minorHAnsi" w:hAnsiTheme="majorHAnsi" w:cstheme="majorHAnsi"/>
          <w:sz w:val="20"/>
          <w:szCs w:val="20"/>
        </w:rPr>
      </w:pPr>
    </w:p>
    <w:p w:rsidR="00691FAE" w:rsidRPr="006C7B09" w:rsidRDefault="003F511A" w:rsidP="008775ED">
      <w:pPr>
        <w:spacing w:after="0" w:line="276" w:lineRule="auto"/>
        <w:jc w:val="both"/>
        <w:rPr>
          <w:rFonts w:asciiTheme="majorHAnsi" w:eastAsiaTheme="minorHAnsi" w:hAnsiTheme="majorHAnsi" w:cstheme="majorHAnsi"/>
          <w:sz w:val="20"/>
          <w:szCs w:val="20"/>
          <w:lang w:val="sr-Cyrl-RS"/>
        </w:rPr>
      </w:pPr>
      <w:r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>Ревизија п</w:t>
      </w:r>
      <w:r w:rsidR="00B13720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редставља сваку промену </w:t>
      </w:r>
      <w:r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вредности објављених статистичких података и </w:t>
      </w:r>
      <w:r w:rsidR="00B13720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треба је прихватити као </w:t>
      </w:r>
      <w:r w:rsidR="00691FAE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>устаљену</w:t>
      </w:r>
      <w:r w:rsidR="00B13720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 праксу која води </w:t>
      </w:r>
      <w:r w:rsidR="00691FAE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повећању </w:t>
      </w:r>
      <w:r w:rsidR="00B13720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>квалитета</w:t>
      </w:r>
      <w:r w:rsidR="00691FAE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 </w:t>
      </w:r>
      <w:r w:rsidR="00B13720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>и поузданости</w:t>
      </w:r>
      <w:r w:rsidR="00691FAE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 статистичких података.</w:t>
      </w:r>
    </w:p>
    <w:p w:rsidR="00691FAE" w:rsidRPr="006C7B09" w:rsidRDefault="00691FAE" w:rsidP="008775ED">
      <w:pPr>
        <w:spacing w:after="0" w:line="276" w:lineRule="auto"/>
        <w:jc w:val="both"/>
        <w:rPr>
          <w:rFonts w:asciiTheme="majorHAnsi" w:eastAsiaTheme="minorHAnsi" w:hAnsiTheme="majorHAnsi" w:cstheme="majorHAnsi"/>
          <w:sz w:val="20"/>
          <w:szCs w:val="20"/>
          <w:lang w:val="sr-Cyrl-RS"/>
        </w:rPr>
      </w:pPr>
    </w:p>
    <w:p w:rsidR="00B13720" w:rsidRPr="006C7B09" w:rsidRDefault="00B419F6" w:rsidP="00265181">
      <w:pPr>
        <w:spacing w:line="276" w:lineRule="auto"/>
        <w:jc w:val="both"/>
        <w:rPr>
          <w:rFonts w:asciiTheme="majorHAnsi" w:eastAsiaTheme="minorHAnsi" w:hAnsiTheme="majorHAnsi" w:cstheme="majorHAnsi"/>
          <w:sz w:val="20"/>
          <w:szCs w:val="20"/>
          <w:lang w:val="sr-Cyrl-RS"/>
        </w:rPr>
      </w:pPr>
      <w:r>
        <w:rPr>
          <w:rFonts w:asciiTheme="majorHAnsi" w:eastAsiaTheme="minorHAnsi" w:hAnsiTheme="majorHAnsi" w:cstheme="majorHAnsi"/>
          <w:sz w:val="20"/>
          <w:szCs w:val="20"/>
          <w:lang w:val="sr-Cyrl-RS"/>
        </w:rPr>
        <w:t>Када се узму у обзир</w:t>
      </w:r>
      <w:r w:rsidR="00B13720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 узро</w:t>
      </w:r>
      <w:r>
        <w:rPr>
          <w:rFonts w:asciiTheme="majorHAnsi" w:eastAsiaTheme="minorHAnsi" w:hAnsiTheme="majorHAnsi" w:cstheme="majorHAnsi"/>
          <w:sz w:val="20"/>
          <w:szCs w:val="20"/>
          <w:lang w:val="sr-Cyrl-RS"/>
        </w:rPr>
        <w:t>ци</w:t>
      </w:r>
      <w:r w:rsidR="00B13720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 и </w:t>
      </w:r>
      <w:r w:rsidR="00797A3F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>учесталост</w:t>
      </w:r>
      <w:r w:rsidR="00B13720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 спровођења</w:t>
      </w:r>
      <w:r w:rsidR="00691FAE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 ревизија, могу се дефинисати</w:t>
      </w:r>
      <w:r w:rsidR="00B13720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>:</w:t>
      </w:r>
    </w:p>
    <w:p w:rsidR="00B13720" w:rsidRPr="006C7B09" w:rsidRDefault="00B13720" w:rsidP="00691FAE">
      <w:pPr>
        <w:pStyle w:val="ListParagraph"/>
        <w:numPr>
          <w:ilvl w:val="0"/>
          <w:numId w:val="27"/>
        </w:numPr>
        <w:spacing w:after="0" w:line="276" w:lineRule="auto"/>
        <w:jc w:val="both"/>
        <w:rPr>
          <w:rFonts w:asciiTheme="majorHAnsi" w:hAnsiTheme="majorHAnsi" w:cstheme="majorHAnsi"/>
          <w:sz w:val="20"/>
          <w:szCs w:val="20"/>
          <w:lang w:val="sr-Cyrl-RS"/>
        </w:rPr>
      </w:pPr>
      <w:r w:rsidRPr="006C7B09">
        <w:rPr>
          <w:rFonts w:asciiTheme="majorHAnsi" w:hAnsiTheme="majorHAnsi" w:cstheme="majorHAnsi"/>
          <w:sz w:val="20"/>
          <w:szCs w:val="20"/>
          <w:lang w:val="sr-Cyrl-RS"/>
        </w:rPr>
        <w:t>текуће ревизије</w:t>
      </w:r>
      <w:r w:rsidR="00B419F6">
        <w:rPr>
          <w:rFonts w:asciiTheme="majorHAnsi" w:hAnsiTheme="majorHAnsi" w:cstheme="majorHAnsi"/>
          <w:sz w:val="20"/>
          <w:szCs w:val="20"/>
          <w:lang w:val="sr-Cyrl-RS"/>
        </w:rPr>
        <w:t>,</w:t>
      </w:r>
    </w:p>
    <w:p w:rsidR="00B13720" w:rsidRPr="006C7B09" w:rsidRDefault="00B13720" w:rsidP="00691FAE">
      <w:pPr>
        <w:pStyle w:val="ListParagraph"/>
        <w:numPr>
          <w:ilvl w:val="0"/>
          <w:numId w:val="27"/>
        </w:numPr>
        <w:spacing w:after="0" w:line="276" w:lineRule="auto"/>
        <w:jc w:val="both"/>
        <w:rPr>
          <w:rFonts w:asciiTheme="majorHAnsi" w:hAnsiTheme="majorHAnsi" w:cstheme="majorHAnsi"/>
          <w:sz w:val="20"/>
          <w:szCs w:val="20"/>
          <w:lang w:val="sr-Cyrl-RS"/>
        </w:rPr>
      </w:pPr>
      <w:r w:rsidRPr="006C7B09">
        <w:rPr>
          <w:rFonts w:asciiTheme="majorHAnsi" w:hAnsiTheme="majorHAnsi" w:cstheme="majorHAnsi"/>
          <w:sz w:val="20"/>
          <w:szCs w:val="20"/>
          <w:lang w:val="sr-Cyrl-RS"/>
        </w:rPr>
        <w:t xml:space="preserve">велике </w:t>
      </w:r>
      <w:r w:rsidR="00780388">
        <w:rPr>
          <w:rFonts w:asciiTheme="majorHAnsi" w:hAnsiTheme="majorHAnsi" w:cstheme="majorHAnsi"/>
          <w:sz w:val="20"/>
          <w:szCs w:val="20"/>
          <w:lang w:val="sr-Cyrl-RS"/>
        </w:rPr>
        <w:t xml:space="preserve">редовне </w:t>
      </w:r>
      <w:r w:rsidR="00756E52" w:rsidRPr="006C7B09">
        <w:rPr>
          <w:rFonts w:asciiTheme="majorHAnsi" w:hAnsiTheme="majorHAnsi" w:cstheme="majorHAnsi"/>
          <w:sz w:val="20"/>
          <w:szCs w:val="20"/>
          <w:lang w:val="sr-Latn-RS"/>
        </w:rPr>
        <w:t>(</w:t>
      </w:r>
      <w:r w:rsidR="00756E52" w:rsidRPr="006C7B09">
        <w:rPr>
          <w:rFonts w:asciiTheme="majorHAnsi" w:hAnsiTheme="majorHAnsi" w:cstheme="majorHAnsi"/>
          <w:sz w:val="20"/>
          <w:szCs w:val="20"/>
          <w:lang w:val="sr-Cyrl-RS"/>
        </w:rPr>
        <w:t xml:space="preserve">бенчмарк) </w:t>
      </w:r>
      <w:r w:rsidRPr="006C7B09">
        <w:rPr>
          <w:rFonts w:asciiTheme="majorHAnsi" w:hAnsiTheme="majorHAnsi" w:cstheme="majorHAnsi"/>
          <w:sz w:val="20"/>
          <w:szCs w:val="20"/>
          <w:lang w:val="sr-Cyrl-RS"/>
        </w:rPr>
        <w:t>ревизије</w:t>
      </w:r>
      <w:r w:rsidR="00B419F6">
        <w:rPr>
          <w:rFonts w:asciiTheme="majorHAnsi" w:hAnsiTheme="majorHAnsi" w:cstheme="majorHAnsi"/>
          <w:sz w:val="20"/>
          <w:szCs w:val="20"/>
          <w:lang w:val="sr-Cyrl-RS"/>
        </w:rPr>
        <w:t>,</w:t>
      </w:r>
      <w:r w:rsidR="00756E52" w:rsidRPr="006C7B09">
        <w:rPr>
          <w:rFonts w:asciiTheme="majorHAnsi" w:hAnsiTheme="majorHAnsi" w:cstheme="majorHAnsi"/>
          <w:sz w:val="20"/>
          <w:szCs w:val="20"/>
          <w:lang w:val="sr-Cyrl-RS"/>
        </w:rPr>
        <w:t xml:space="preserve"> и</w:t>
      </w:r>
    </w:p>
    <w:p w:rsidR="00B13720" w:rsidRPr="006C7B09" w:rsidRDefault="00B13720" w:rsidP="00691FAE">
      <w:pPr>
        <w:pStyle w:val="ListParagraph"/>
        <w:numPr>
          <w:ilvl w:val="0"/>
          <w:numId w:val="27"/>
        </w:numPr>
        <w:spacing w:after="0" w:line="276" w:lineRule="auto"/>
        <w:jc w:val="both"/>
        <w:rPr>
          <w:rFonts w:asciiTheme="majorHAnsi" w:hAnsiTheme="majorHAnsi" w:cstheme="majorHAnsi"/>
          <w:sz w:val="20"/>
          <w:szCs w:val="20"/>
          <w:lang w:val="sr-Cyrl-RS"/>
        </w:rPr>
      </w:pPr>
      <w:r w:rsidRPr="006C7B09">
        <w:rPr>
          <w:rFonts w:asciiTheme="majorHAnsi" w:hAnsiTheme="majorHAnsi" w:cstheme="majorHAnsi"/>
          <w:sz w:val="20"/>
          <w:szCs w:val="20"/>
          <w:lang w:val="sr-Cyrl-RS"/>
        </w:rPr>
        <w:t>ванредне ревизије</w:t>
      </w:r>
      <w:r w:rsidR="00691FAE" w:rsidRPr="006C7B09">
        <w:rPr>
          <w:rFonts w:asciiTheme="majorHAnsi" w:hAnsiTheme="majorHAnsi" w:cstheme="majorHAnsi"/>
          <w:sz w:val="20"/>
          <w:szCs w:val="20"/>
          <w:lang w:val="sr-Cyrl-RS"/>
        </w:rPr>
        <w:t>.</w:t>
      </w:r>
    </w:p>
    <w:p w:rsidR="008775ED" w:rsidRPr="006C7B09" w:rsidRDefault="00B13720" w:rsidP="008775ED">
      <w:pPr>
        <w:pStyle w:val="Heading1"/>
        <w:rPr>
          <w:rFonts w:eastAsiaTheme="minorHAnsi" w:cstheme="majorHAnsi"/>
        </w:rPr>
      </w:pPr>
      <w:bookmarkStart w:id="1" w:name="_Toc52283274"/>
      <w:r w:rsidRPr="006C7B09">
        <w:rPr>
          <w:rFonts w:eastAsiaTheme="minorHAnsi" w:cstheme="majorHAnsi"/>
          <w:lang w:val="sr-Cyrl-RS"/>
        </w:rPr>
        <w:lastRenderedPageBreak/>
        <w:t>Календар објављивања</w:t>
      </w:r>
      <w:bookmarkEnd w:id="1"/>
    </w:p>
    <w:p w:rsidR="00A33434" w:rsidRDefault="00A33434" w:rsidP="008775ED">
      <w:pPr>
        <w:spacing w:after="0" w:line="276" w:lineRule="auto"/>
        <w:jc w:val="both"/>
        <w:rPr>
          <w:rFonts w:asciiTheme="majorHAnsi" w:eastAsiaTheme="minorHAnsi" w:hAnsiTheme="majorHAnsi" w:cstheme="majorHAnsi"/>
          <w:sz w:val="20"/>
          <w:szCs w:val="20"/>
          <w:lang w:val="sr-Cyrl-RS"/>
        </w:rPr>
      </w:pPr>
    </w:p>
    <w:p w:rsidR="008775ED" w:rsidRPr="006C7B09" w:rsidRDefault="002E6153" w:rsidP="008775ED">
      <w:pPr>
        <w:spacing w:after="0" w:line="276" w:lineRule="auto"/>
        <w:jc w:val="both"/>
        <w:rPr>
          <w:rFonts w:asciiTheme="majorHAnsi" w:eastAsiaTheme="minorHAnsi" w:hAnsiTheme="majorHAnsi" w:cstheme="majorHAnsi"/>
          <w:sz w:val="20"/>
          <w:szCs w:val="20"/>
        </w:rPr>
      </w:pPr>
      <w:r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>Календар</w:t>
      </w:r>
      <w:r w:rsidR="004E3602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 објављивања доступан </w:t>
      </w:r>
      <w:r w:rsidR="00173F82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је </w:t>
      </w:r>
      <w:r w:rsidR="004E3602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на </w:t>
      </w:r>
      <w:r w:rsidR="00B64ABA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интернет страници </w:t>
      </w:r>
      <w:r w:rsidR="004E3602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>Р</w:t>
      </w:r>
      <w:r w:rsidR="00B64ABA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>ЗС-а месец</w:t>
      </w:r>
      <w:r w:rsidR="004E3602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 дана пре почетка године.</w:t>
      </w:r>
    </w:p>
    <w:p w:rsidR="00B20F51" w:rsidRPr="006C7B09" w:rsidRDefault="00B20F51" w:rsidP="008775ED">
      <w:pPr>
        <w:spacing w:after="0" w:line="276" w:lineRule="auto"/>
        <w:jc w:val="both"/>
        <w:rPr>
          <w:rFonts w:asciiTheme="majorHAnsi" w:eastAsiaTheme="minorHAnsi" w:hAnsiTheme="majorHAnsi" w:cstheme="majorHAnsi"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1"/>
        <w:gridCol w:w="4699"/>
        <w:gridCol w:w="2194"/>
      </w:tblGrid>
      <w:tr w:rsidR="008775ED" w:rsidRPr="006C7B09" w:rsidTr="00D21DC9">
        <w:trPr>
          <w:trHeight w:hRule="exact" w:val="432"/>
          <w:jc w:val="center"/>
        </w:trPr>
        <w:tc>
          <w:tcPr>
            <w:tcW w:w="9214" w:type="dxa"/>
            <w:gridSpan w:val="3"/>
            <w:tcBorders>
              <w:bottom w:val="single" w:sz="8" w:space="0" w:color="auto"/>
            </w:tcBorders>
            <w:shd w:val="clear" w:color="auto" w:fill="E2EFD9" w:themeFill="accent6" w:themeFillTint="33"/>
            <w:vAlign w:val="center"/>
          </w:tcPr>
          <w:p w:rsidR="008775ED" w:rsidRPr="006C7B09" w:rsidRDefault="004E3602" w:rsidP="00F32202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C7B09">
              <w:rPr>
                <w:rFonts w:asciiTheme="majorHAnsi" w:hAnsiTheme="majorHAnsi" w:cstheme="majorHAnsi"/>
                <w:b/>
                <w:sz w:val="20"/>
                <w:szCs w:val="20"/>
                <w:lang w:val="sr-Cyrl-RS"/>
              </w:rPr>
              <w:t>Календар објављивања националних рачуна</w:t>
            </w:r>
            <w:r w:rsidR="008775ED" w:rsidRPr="006C7B0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</w:tc>
      </w:tr>
      <w:tr w:rsidR="008775ED" w:rsidRPr="006C7B09" w:rsidTr="00D21DC9">
        <w:trPr>
          <w:trHeight w:hRule="exact" w:val="432"/>
          <w:jc w:val="center"/>
        </w:trPr>
        <w:tc>
          <w:tcPr>
            <w:tcW w:w="2321" w:type="dxa"/>
            <w:tcBorders>
              <w:top w:val="single" w:sz="8" w:space="0" w:color="auto"/>
              <w:bottom w:val="single" w:sz="8" w:space="0" w:color="A8D08D" w:themeColor="accent6" w:themeTint="99"/>
            </w:tcBorders>
            <w:shd w:val="clear" w:color="auto" w:fill="E2EFD9" w:themeFill="accent6" w:themeFillTint="33"/>
            <w:vAlign w:val="center"/>
          </w:tcPr>
          <w:p w:rsidR="008775ED" w:rsidRPr="006C7B09" w:rsidRDefault="004E3602" w:rsidP="0022774D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C7B09">
              <w:rPr>
                <w:rFonts w:asciiTheme="majorHAnsi" w:hAnsiTheme="majorHAnsi" w:cstheme="majorHAnsi"/>
                <w:b/>
                <w:sz w:val="20"/>
                <w:szCs w:val="20"/>
                <w:lang w:val="sr-Cyrl-RS"/>
              </w:rPr>
              <w:t xml:space="preserve">Област </w:t>
            </w:r>
          </w:p>
        </w:tc>
        <w:tc>
          <w:tcPr>
            <w:tcW w:w="4699" w:type="dxa"/>
            <w:tcBorders>
              <w:top w:val="single" w:sz="8" w:space="0" w:color="auto"/>
              <w:bottom w:val="single" w:sz="8" w:space="0" w:color="A8D08D" w:themeColor="accent6" w:themeTint="99"/>
            </w:tcBorders>
            <w:shd w:val="clear" w:color="auto" w:fill="E2EFD9" w:themeFill="accent6" w:themeFillTint="33"/>
            <w:vAlign w:val="center"/>
          </w:tcPr>
          <w:p w:rsidR="008775ED" w:rsidRPr="006C7B09" w:rsidRDefault="004E3602" w:rsidP="008775ED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C7B09">
              <w:rPr>
                <w:rFonts w:asciiTheme="majorHAnsi" w:hAnsiTheme="majorHAnsi" w:cstheme="majorHAnsi"/>
                <w:b/>
                <w:sz w:val="20"/>
                <w:szCs w:val="20"/>
                <w:lang w:val="sr-Cyrl-RS"/>
              </w:rPr>
              <w:t>Назив</w:t>
            </w:r>
          </w:p>
        </w:tc>
        <w:tc>
          <w:tcPr>
            <w:tcW w:w="2194" w:type="dxa"/>
            <w:tcBorders>
              <w:top w:val="single" w:sz="8" w:space="0" w:color="auto"/>
              <w:bottom w:val="single" w:sz="8" w:space="0" w:color="A8D08D" w:themeColor="accent6" w:themeTint="99"/>
            </w:tcBorders>
            <w:shd w:val="clear" w:color="auto" w:fill="E2EFD9" w:themeFill="accent6" w:themeFillTint="33"/>
            <w:vAlign w:val="center"/>
          </w:tcPr>
          <w:p w:rsidR="008775ED" w:rsidRPr="006C7B09" w:rsidRDefault="004E3602" w:rsidP="00B64ABA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C7B09">
              <w:rPr>
                <w:rFonts w:asciiTheme="majorHAnsi" w:hAnsiTheme="majorHAnsi" w:cstheme="majorHAnsi"/>
                <w:b/>
                <w:sz w:val="20"/>
                <w:szCs w:val="20"/>
                <w:lang w:val="sr-Cyrl-RS"/>
              </w:rPr>
              <w:t>Број публикациј</w:t>
            </w:r>
            <w:r w:rsidR="00B64ABA" w:rsidRPr="006C7B09">
              <w:rPr>
                <w:rFonts w:asciiTheme="majorHAnsi" w:hAnsiTheme="majorHAnsi" w:cstheme="majorHAnsi"/>
                <w:b/>
                <w:sz w:val="20"/>
                <w:szCs w:val="20"/>
                <w:lang w:val="sr-Cyrl-RS"/>
              </w:rPr>
              <w:t>а</w:t>
            </w:r>
          </w:p>
        </w:tc>
      </w:tr>
      <w:tr w:rsidR="008775ED" w:rsidRPr="006C7B09" w:rsidTr="00D21DC9">
        <w:trPr>
          <w:jc w:val="center"/>
        </w:trPr>
        <w:tc>
          <w:tcPr>
            <w:tcW w:w="2321" w:type="dxa"/>
            <w:vMerge w:val="restart"/>
            <w:tcBorders>
              <w:top w:val="single" w:sz="8" w:space="0" w:color="A8D08D" w:themeColor="accent6" w:themeTint="99"/>
              <w:bottom w:val="single" w:sz="8" w:space="0" w:color="A8D08D" w:themeColor="accent6" w:themeTint="99"/>
            </w:tcBorders>
            <w:vAlign w:val="center"/>
          </w:tcPr>
          <w:p w:rsidR="008775ED" w:rsidRPr="006C7B09" w:rsidRDefault="00B64ABA" w:rsidP="00B64AB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C7B09">
              <w:rPr>
                <w:rFonts w:asciiTheme="majorHAnsi" w:hAnsiTheme="majorHAnsi" w:cstheme="majorHAnsi"/>
                <w:b/>
                <w:sz w:val="20"/>
                <w:szCs w:val="20"/>
                <w:lang w:val="sr-Cyrl-RS"/>
              </w:rPr>
              <w:t>Основни агрегати н</w:t>
            </w:r>
            <w:r w:rsidR="004E3602" w:rsidRPr="006C7B09">
              <w:rPr>
                <w:rFonts w:asciiTheme="majorHAnsi" w:hAnsiTheme="majorHAnsi" w:cstheme="majorHAnsi"/>
                <w:b/>
                <w:sz w:val="20"/>
                <w:szCs w:val="20"/>
                <w:lang w:val="sr-Cyrl-RS"/>
              </w:rPr>
              <w:t>ационални</w:t>
            </w:r>
            <w:r w:rsidRPr="006C7B09">
              <w:rPr>
                <w:rFonts w:asciiTheme="majorHAnsi" w:hAnsiTheme="majorHAnsi" w:cstheme="majorHAnsi"/>
                <w:b/>
                <w:sz w:val="20"/>
                <w:szCs w:val="20"/>
                <w:lang w:val="sr-Cyrl-RS"/>
              </w:rPr>
              <w:t xml:space="preserve">х </w:t>
            </w:r>
            <w:r w:rsidR="004E3602" w:rsidRPr="006C7B09">
              <w:rPr>
                <w:rFonts w:asciiTheme="majorHAnsi" w:hAnsiTheme="majorHAnsi" w:cstheme="majorHAnsi"/>
                <w:b/>
                <w:sz w:val="20"/>
                <w:szCs w:val="20"/>
                <w:lang w:val="sr-Cyrl-RS"/>
              </w:rPr>
              <w:t>рачун</w:t>
            </w:r>
            <w:r w:rsidRPr="006C7B09">
              <w:rPr>
                <w:rFonts w:asciiTheme="majorHAnsi" w:hAnsiTheme="majorHAnsi" w:cstheme="majorHAnsi"/>
                <w:b/>
                <w:sz w:val="20"/>
                <w:szCs w:val="20"/>
                <w:lang w:val="sr-Cyrl-RS"/>
              </w:rPr>
              <w:t>а</w:t>
            </w:r>
            <w:r w:rsidR="008775ED" w:rsidRPr="006C7B0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, </w:t>
            </w:r>
            <w:r w:rsidR="004E3602" w:rsidRPr="006C7B09">
              <w:rPr>
                <w:rFonts w:asciiTheme="majorHAnsi" w:hAnsiTheme="majorHAnsi" w:cstheme="majorHAnsi"/>
                <w:b/>
                <w:sz w:val="20"/>
                <w:szCs w:val="20"/>
                <w:lang w:val="sr-Cyrl-RS"/>
              </w:rPr>
              <w:t xml:space="preserve">квартални подаци </w:t>
            </w:r>
          </w:p>
        </w:tc>
        <w:tc>
          <w:tcPr>
            <w:tcW w:w="4699" w:type="dxa"/>
            <w:tcBorders>
              <w:top w:val="single" w:sz="8" w:space="0" w:color="A8D08D" w:themeColor="accent6" w:themeTint="99"/>
              <w:bottom w:val="single" w:sz="8" w:space="0" w:color="A8D08D" w:themeColor="accent6" w:themeTint="99"/>
            </w:tcBorders>
            <w:vAlign w:val="center"/>
          </w:tcPr>
          <w:p w:rsidR="008775ED" w:rsidRPr="006C7B09" w:rsidRDefault="004E3602" w:rsidP="007248F0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6C7B09">
              <w:rPr>
                <w:rFonts w:asciiTheme="majorHAnsi" w:hAnsiTheme="majorHAnsi" w:cstheme="majorHAnsi"/>
                <w:sz w:val="20"/>
                <w:szCs w:val="20"/>
                <w:lang w:val="sr-Cyrl-RS"/>
              </w:rPr>
              <w:t>К</w:t>
            </w:r>
            <w:r w:rsidR="00AE321C" w:rsidRPr="006C7B09">
              <w:rPr>
                <w:rFonts w:asciiTheme="majorHAnsi" w:hAnsiTheme="majorHAnsi" w:cstheme="majorHAnsi"/>
                <w:sz w:val="20"/>
                <w:szCs w:val="20"/>
                <w:lang w:val="sr-Cyrl-RS"/>
              </w:rPr>
              <w:t>вартални бруто дома</w:t>
            </w:r>
            <w:r w:rsidRPr="006C7B09">
              <w:rPr>
                <w:rFonts w:asciiTheme="majorHAnsi" w:hAnsiTheme="majorHAnsi" w:cstheme="majorHAnsi"/>
                <w:sz w:val="20"/>
                <w:szCs w:val="20"/>
                <w:lang w:val="sr-Cyrl-RS"/>
              </w:rPr>
              <w:t>ћи про</w:t>
            </w:r>
            <w:r w:rsidR="00B64ABA" w:rsidRPr="006C7B09">
              <w:rPr>
                <w:rFonts w:asciiTheme="majorHAnsi" w:hAnsiTheme="majorHAnsi" w:cstheme="majorHAnsi"/>
                <w:sz w:val="20"/>
                <w:szCs w:val="20"/>
                <w:lang w:val="sr-Cyrl-RS"/>
              </w:rPr>
              <w:t>и</w:t>
            </w:r>
            <w:r w:rsidRPr="006C7B09">
              <w:rPr>
                <w:rFonts w:asciiTheme="majorHAnsi" w:hAnsiTheme="majorHAnsi" w:cstheme="majorHAnsi"/>
                <w:sz w:val="20"/>
                <w:szCs w:val="20"/>
                <w:lang w:val="sr-Cyrl-RS"/>
              </w:rPr>
              <w:t xml:space="preserve">звод Републике Србије </w:t>
            </w:r>
            <w:r w:rsidR="00AE321C" w:rsidRPr="006C7B09">
              <w:rPr>
                <w:rFonts w:asciiTheme="majorHAnsi" w:hAnsiTheme="majorHAnsi" w:cstheme="majorHAnsi"/>
                <w:sz w:val="20"/>
                <w:szCs w:val="20"/>
                <w:lang w:val="sr-Cyrl-RS"/>
              </w:rPr>
              <w:t>у сталним ценама – брза</w:t>
            </w:r>
            <w:r w:rsidR="00B64ABA" w:rsidRPr="006C7B09">
              <w:rPr>
                <w:rFonts w:asciiTheme="majorHAnsi" w:hAnsiTheme="majorHAnsi" w:cstheme="majorHAnsi"/>
                <w:sz w:val="20"/>
                <w:szCs w:val="20"/>
                <w:lang w:val="sr-Cyrl-RS"/>
              </w:rPr>
              <w:t>/флеш</w:t>
            </w:r>
            <w:r w:rsidR="00AE321C" w:rsidRPr="006C7B09">
              <w:rPr>
                <w:rFonts w:asciiTheme="majorHAnsi" w:hAnsiTheme="majorHAnsi" w:cstheme="majorHAnsi"/>
                <w:sz w:val="20"/>
                <w:szCs w:val="20"/>
                <w:lang w:val="sr-Cyrl-RS"/>
              </w:rPr>
              <w:t xml:space="preserve"> процена</w:t>
            </w:r>
          </w:p>
        </w:tc>
        <w:tc>
          <w:tcPr>
            <w:tcW w:w="2194" w:type="dxa"/>
            <w:tcBorders>
              <w:top w:val="single" w:sz="8" w:space="0" w:color="A8D08D" w:themeColor="accent6" w:themeTint="99"/>
              <w:bottom w:val="single" w:sz="8" w:space="0" w:color="A8D08D" w:themeColor="accent6" w:themeTint="99"/>
            </w:tcBorders>
            <w:vAlign w:val="center"/>
          </w:tcPr>
          <w:p w:rsidR="008775ED" w:rsidRPr="006C7B09" w:rsidRDefault="008775ED" w:rsidP="008E051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6C7B09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B64ABA" w:rsidRPr="006C7B09">
              <w:rPr>
                <w:rFonts w:asciiTheme="majorHAnsi" w:hAnsiTheme="majorHAnsi" w:cstheme="majorHAnsi"/>
                <w:sz w:val="20"/>
                <w:szCs w:val="20"/>
                <w:lang w:val="sr-Cyrl-RS"/>
              </w:rPr>
              <w:t xml:space="preserve"> </w:t>
            </w:r>
            <w:r w:rsidR="00416C35" w:rsidRPr="006C7B09">
              <w:rPr>
                <w:rFonts w:asciiTheme="majorHAnsi" w:hAnsiTheme="majorHAnsi" w:cstheme="majorHAnsi"/>
                <w:sz w:val="20"/>
                <w:szCs w:val="20"/>
                <w:lang w:val="sr-Cyrl-RS"/>
              </w:rPr>
              <w:t xml:space="preserve">по </w:t>
            </w:r>
            <w:r w:rsidR="004E3602" w:rsidRPr="006C7B09">
              <w:rPr>
                <w:rFonts w:asciiTheme="majorHAnsi" w:hAnsiTheme="majorHAnsi" w:cstheme="majorHAnsi"/>
                <w:sz w:val="20"/>
                <w:szCs w:val="20"/>
                <w:lang w:val="sr-Cyrl-RS"/>
              </w:rPr>
              <w:t>квартал</w:t>
            </w:r>
            <w:r w:rsidR="00416C35" w:rsidRPr="006C7B09">
              <w:rPr>
                <w:rFonts w:asciiTheme="majorHAnsi" w:hAnsiTheme="majorHAnsi" w:cstheme="majorHAnsi"/>
                <w:sz w:val="20"/>
                <w:szCs w:val="20"/>
                <w:lang w:val="sr-Cyrl-RS"/>
              </w:rPr>
              <w:t>у</w:t>
            </w:r>
            <w:r w:rsidRPr="006C7B09">
              <w:rPr>
                <w:rFonts w:asciiTheme="majorHAnsi" w:hAnsiTheme="majorHAnsi" w:cstheme="majorHAnsi"/>
                <w:sz w:val="20"/>
                <w:szCs w:val="20"/>
              </w:rPr>
              <w:t xml:space="preserve"> (</w:t>
            </w:r>
            <w:r w:rsidR="007B264D" w:rsidRPr="006C7B09">
              <w:rPr>
                <w:rFonts w:asciiTheme="majorHAnsi" w:hAnsiTheme="majorHAnsi" w:cstheme="majorHAnsi"/>
                <w:sz w:val="20"/>
                <w:szCs w:val="20"/>
                <w:lang w:val="sr-Cyrl-RS"/>
              </w:rPr>
              <w:t xml:space="preserve">референтни квартал </w:t>
            </w:r>
            <w:r w:rsidRPr="006C7B09">
              <w:rPr>
                <w:rFonts w:asciiTheme="majorHAnsi" w:hAnsiTheme="majorHAnsi" w:cstheme="majorHAnsi"/>
                <w:sz w:val="20"/>
                <w:szCs w:val="20"/>
              </w:rPr>
              <w:t xml:space="preserve">+ </w:t>
            </w:r>
            <w:r w:rsidR="008E051B">
              <w:rPr>
                <w:rFonts w:asciiTheme="majorHAnsi" w:hAnsiTheme="majorHAnsi" w:cstheme="majorHAnsi"/>
                <w:sz w:val="20"/>
                <w:szCs w:val="20"/>
                <w:lang w:val="sr-Cyrl-RS"/>
              </w:rPr>
              <w:t>1 месец</w:t>
            </w:r>
            <w:r w:rsidRPr="006C7B09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</w:tr>
      <w:tr w:rsidR="008775ED" w:rsidRPr="006C7B09" w:rsidTr="00D21DC9">
        <w:trPr>
          <w:jc w:val="center"/>
        </w:trPr>
        <w:tc>
          <w:tcPr>
            <w:tcW w:w="2321" w:type="dxa"/>
            <w:vMerge/>
            <w:tcBorders>
              <w:top w:val="single" w:sz="8" w:space="0" w:color="A8D08D" w:themeColor="accent6" w:themeTint="99"/>
              <w:bottom w:val="single" w:sz="8" w:space="0" w:color="A8D08D" w:themeColor="accent6" w:themeTint="99"/>
            </w:tcBorders>
            <w:vAlign w:val="center"/>
          </w:tcPr>
          <w:p w:rsidR="008775ED" w:rsidRPr="006C7B09" w:rsidRDefault="008775ED" w:rsidP="008775ED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699" w:type="dxa"/>
            <w:tcBorders>
              <w:top w:val="single" w:sz="8" w:space="0" w:color="A8D08D" w:themeColor="accent6" w:themeTint="99"/>
              <w:bottom w:val="single" w:sz="8" w:space="0" w:color="A8D08D" w:themeColor="accent6" w:themeTint="99"/>
            </w:tcBorders>
            <w:vAlign w:val="center"/>
          </w:tcPr>
          <w:p w:rsidR="008775ED" w:rsidRPr="006C7B09" w:rsidRDefault="00AE321C" w:rsidP="007248F0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6C7B09">
              <w:rPr>
                <w:rFonts w:asciiTheme="majorHAnsi" w:hAnsiTheme="majorHAnsi" w:cstheme="majorHAnsi"/>
                <w:sz w:val="20"/>
                <w:szCs w:val="20"/>
                <w:lang w:val="sr-Cyrl-RS"/>
              </w:rPr>
              <w:t>Квартални бруто домаћи про</w:t>
            </w:r>
            <w:r w:rsidR="007248F0" w:rsidRPr="006C7B09">
              <w:rPr>
                <w:rFonts w:asciiTheme="majorHAnsi" w:hAnsiTheme="majorHAnsi" w:cstheme="majorHAnsi"/>
                <w:sz w:val="20"/>
                <w:szCs w:val="20"/>
                <w:lang w:val="sr-Cyrl-RS"/>
              </w:rPr>
              <w:t>и</w:t>
            </w:r>
            <w:r w:rsidRPr="006C7B09">
              <w:rPr>
                <w:rFonts w:asciiTheme="majorHAnsi" w:hAnsiTheme="majorHAnsi" w:cstheme="majorHAnsi"/>
                <w:sz w:val="20"/>
                <w:szCs w:val="20"/>
                <w:lang w:val="sr-Cyrl-RS"/>
              </w:rPr>
              <w:t xml:space="preserve">звод Републике Србије </w:t>
            </w:r>
          </w:p>
        </w:tc>
        <w:tc>
          <w:tcPr>
            <w:tcW w:w="2194" w:type="dxa"/>
            <w:tcBorders>
              <w:top w:val="single" w:sz="8" w:space="0" w:color="A8D08D" w:themeColor="accent6" w:themeTint="99"/>
              <w:bottom w:val="single" w:sz="8" w:space="0" w:color="A8D08D" w:themeColor="accent6" w:themeTint="99"/>
            </w:tcBorders>
            <w:vAlign w:val="center"/>
          </w:tcPr>
          <w:p w:rsidR="008775ED" w:rsidRPr="006C7B09" w:rsidRDefault="008775ED" w:rsidP="008E051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6C7B09">
              <w:rPr>
                <w:rFonts w:asciiTheme="majorHAnsi" w:hAnsiTheme="majorHAnsi" w:cstheme="majorHAnsi"/>
                <w:sz w:val="20"/>
                <w:szCs w:val="20"/>
              </w:rPr>
              <w:t xml:space="preserve">1 </w:t>
            </w:r>
            <w:r w:rsidR="00416C35" w:rsidRPr="006C7B09">
              <w:rPr>
                <w:rFonts w:asciiTheme="majorHAnsi" w:hAnsiTheme="majorHAnsi" w:cstheme="majorHAnsi"/>
                <w:sz w:val="20"/>
                <w:szCs w:val="20"/>
                <w:lang w:val="sr-Cyrl-RS"/>
              </w:rPr>
              <w:t xml:space="preserve">по </w:t>
            </w:r>
            <w:r w:rsidR="002E6153" w:rsidRPr="006C7B09">
              <w:rPr>
                <w:rFonts w:asciiTheme="majorHAnsi" w:hAnsiTheme="majorHAnsi" w:cstheme="majorHAnsi"/>
                <w:sz w:val="20"/>
                <w:szCs w:val="20"/>
                <w:lang w:val="sr-Cyrl-RS"/>
              </w:rPr>
              <w:t>квартал</w:t>
            </w:r>
            <w:r w:rsidR="00416C35" w:rsidRPr="006C7B09">
              <w:rPr>
                <w:rFonts w:asciiTheme="majorHAnsi" w:hAnsiTheme="majorHAnsi" w:cstheme="majorHAnsi"/>
                <w:sz w:val="20"/>
                <w:szCs w:val="20"/>
                <w:lang w:val="sr-Cyrl-RS"/>
              </w:rPr>
              <w:t>у</w:t>
            </w:r>
            <w:r w:rsidRPr="006C7B09">
              <w:rPr>
                <w:rFonts w:asciiTheme="majorHAnsi" w:hAnsiTheme="majorHAnsi" w:cstheme="majorHAnsi"/>
                <w:sz w:val="20"/>
                <w:szCs w:val="20"/>
              </w:rPr>
              <w:t xml:space="preserve"> (</w:t>
            </w:r>
            <w:r w:rsidR="002E6153" w:rsidRPr="006C7B09">
              <w:rPr>
                <w:rFonts w:asciiTheme="majorHAnsi" w:hAnsiTheme="majorHAnsi" w:cstheme="majorHAnsi"/>
                <w:sz w:val="20"/>
                <w:szCs w:val="20"/>
                <w:lang w:val="sr-Cyrl-RS"/>
              </w:rPr>
              <w:t xml:space="preserve">референтни квартал </w:t>
            </w:r>
            <w:r w:rsidRPr="006C7B09">
              <w:rPr>
                <w:rFonts w:asciiTheme="majorHAnsi" w:hAnsiTheme="majorHAnsi" w:cstheme="majorHAnsi"/>
                <w:sz w:val="20"/>
                <w:szCs w:val="20"/>
              </w:rPr>
              <w:t xml:space="preserve">+ </w:t>
            </w:r>
            <w:r w:rsidR="008E051B">
              <w:rPr>
                <w:rFonts w:asciiTheme="majorHAnsi" w:hAnsiTheme="majorHAnsi" w:cstheme="majorHAnsi"/>
                <w:sz w:val="20"/>
                <w:szCs w:val="20"/>
                <w:lang w:val="sr-Cyrl-RS"/>
              </w:rPr>
              <w:t>2 месеца</w:t>
            </w:r>
            <w:r w:rsidRPr="006C7B09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</w:tr>
      <w:tr w:rsidR="00B32185" w:rsidRPr="006C7B09" w:rsidTr="00251E96">
        <w:trPr>
          <w:jc w:val="center"/>
        </w:trPr>
        <w:tc>
          <w:tcPr>
            <w:tcW w:w="2321" w:type="dxa"/>
            <w:vMerge w:val="restart"/>
            <w:tcBorders>
              <w:top w:val="single" w:sz="8" w:space="0" w:color="A8D08D" w:themeColor="accent6" w:themeTint="99"/>
            </w:tcBorders>
            <w:vAlign w:val="center"/>
          </w:tcPr>
          <w:p w:rsidR="00B32185" w:rsidRPr="006C7B09" w:rsidRDefault="00B32185" w:rsidP="001A4420">
            <w:pPr>
              <w:spacing w:line="276" w:lineRule="auto"/>
              <w:rPr>
                <w:rFonts w:asciiTheme="majorHAnsi" w:hAnsiTheme="majorHAnsi" w:cstheme="majorHAnsi"/>
                <w:b/>
                <w:sz w:val="20"/>
                <w:szCs w:val="20"/>
                <w:lang w:val="sr-Cyrl-RS"/>
              </w:rPr>
            </w:pPr>
            <w:r w:rsidRPr="006C7B09">
              <w:rPr>
                <w:rFonts w:asciiTheme="majorHAnsi" w:hAnsiTheme="majorHAnsi" w:cstheme="majorHAnsi"/>
                <w:b/>
                <w:sz w:val="20"/>
                <w:szCs w:val="20"/>
                <w:lang w:val="sr-Cyrl-RS"/>
              </w:rPr>
              <w:t>Основни агрегати националних рачуна, годишњи подаци</w:t>
            </w:r>
          </w:p>
        </w:tc>
        <w:tc>
          <w:tcPr>
            <w:tcW w:w="4699" w:type="dxa"/>
            <w:tcBorders>
              <w:top w:val="single" w:sz="8" w:space="0" w:color="A8D08D" w:themeColor="accent6" w:themeTint="99"/>
              <w:bottom w:val="single" w:sz="8" w:space="0" w:color="A8D08D" w:themeColor="accent6" w:themeTint="99"/>
            </w:tcBorders>
            <w:vAlign w:val="center"/>
          </w:tcPr>
          <w:p w:rsidR="00B32185" w:rsidRPr="006C7B09" w:rsidRDefault="00FF723D" w:rsidP="00FF723D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sr-Cyrl-R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sr-Cyrl-RS"/>
              </w:rPr>
              <w:t>Економска кретања –</w:t>
            </w:r>
            <w:r w:rsidRPr="00FF723D">
              <w:rPr>
                <w:rFonts w:asciiTheme="majorHAnsi" w:hAnsiTheme="majorHAnsi" w:cstheme="majorHAnsi"/>
                <w:sz w:val="20"/>
                <w:szCs w:val="20"/>
                <w:lang w:val="sr-Cyrl-RS"/>
              </w:rPr>
              <w:t xml:space="preserve"> стопа раста БДП-а</w:t>
            </w:r>
          </w:p>
        </w:tc>
        <w:tc>
          <w:tcPr>
            <w:tcW w:w="2194" w:type="dxa"/>
            <w:tcBorders>
              <w:top w:val="single" w:sz="8" w:space="0" w:color="A8D08D" w:themeColor="accent6" w:themeTint="99"/>
              <w:bottom w:val="single" w:sz="8" w:space="0" w:color="A8D08D" w:themeColor="accent6" w:themeTint="99"/>
            </w:tcBorders>
            <w:vAlign w:val="center"/>
          </w:tcPr>
          <w:p w:rsidR="00B32185" w:rsidRPr="006C7B09" w:rsidRDefault="00B333B6" w:rsidP="00B333B6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333B6">
              <w:rPr>
                <w:rFonts w:asciiTheme="majorHAnsi" w:hAnsiTheme="majorHAnsi" w:cstheme="majorHAnsi"/>
                <w:sz w:val="20"/>
                <w:szCs w:val="20"/>
              </w:rPr>
              <w:t xml:space="preserve">1 </w:t>
            </w:r>
            <w:r>
              <w:rPr>
                <w:rFonts w:asciiTheme="majorHAnsi" w:hAnsiTheme="majorHAnsi" w:cstheme="majorHAnsi"/>
                <w:sz w:val="20"/>
                <w:szCs w:val="20"/>
                <w:lang w:val="sr-Cyrl-RS"/>
              </w:rPr>
              <w:t>по години (крај децембра референтне године)</w:t>
            </w:r>
          </w:p>
        </w:tc>
      </w:tr>
      <w:tr w:rsidR="00B32185" w:rsidRPr="006C7B09" w:rsidTr="00251E96">
        <w:trPr>
          <w:jc w:val="center"/>
        </w:trPr>
        <w:tc>
          <w:tcPr>
            <w:tcW w:w="2321" w:type="dxa"/>
            <w:vMerge/>
            <w:vAlign w:val="center"/>
          </w:tcPr>
          <w:p w:rsidR="00B32185" w:rsidRPr="006C7B09" w:rsidRDefault="00B32185" w:rsidP="001A4420">
            <w:pPr>
              <w:spacing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699" w:type="dxa"/>
            <w:tcBorders>
              <w:top w:val="single" w:sz="8" w:space="0" w:color="A8D08D" w:themeColor="accent6" w:themeTint="99"/>
              <w:bottom w:val="single" w:sz="8" w:space="0" w:color="A8D08D" w:themeColor="accent6" w:themeTint="99"/>
            </w:tcBorders>
            <w:vAlign w:val="center"/>
          </w:tcPr>
          <w:p w:rsidR="00B32185" w:rsidRPr="006C7B09" w:rsidRDefault="00B32185" w:rsidP="007248F0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6C7B09">
              <w:rPr>
                <w:rFonts w:asciiTheme="majorHAnsi" w:hAnsiTheme="majorHAnsi" w:cstheme="majorHAnsi"/>
                <w:sz w:val="20"/>
                <w:szCs w:val="20"/>
                <w:lang w:val="sr-Cyrl-RS"/>
              </w:rPr>
              <w:t xml:space="preserve">Бруто домаћи производ </w:t>
            </w:r>
            <w:r w:rsidRPr="006C7B09">
              <w:rPr>
                <w:rFonts w:asciiTheme="majorHAnsi" w:hAnsiTheme="majorHAnsi" w:cstheme="majorHAnsi"/>
                <w:sz w:val="20"/>
                <w:szCs w:val="20"/>
              </w:rPr>
              <w:t>–</w:t>
            </w:r>
            <w:r w:rsidRPr="006C7B09">
              <w:rPr>
                <w:rFonts w:asciiTheme="majorHAnsi" w:hAnsiTheme="majorHAnsi" w:cstheme="majorHAnsi"/>
                <w:sz w:val="20"/>
                <w:szCs w:val="20"/>
                <w:lang w:val="sr-Cyrl-RS"/>
              </w:rPr>
              <w:t xml:space="preserve"> сума четири квартала, процена</w:t>
            </w:r>
            <w:r w:rsidRPr="006C7B0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2194" w:type="dxa"/>
            <w:tcBorders>
              <w:top w:val="single" w:sz="8" w:space="0" w:color="A8D08D" w:themeColor="accent6" w:themeTint="99"/>
              <w:bottom w:val="single" w:sz="8" w:space="0" w:color="A8D08D" w:themeColor="accent6" w:themeTint="99"/>
            </w:tcBorders>
            <w:vAlign w:val="center"/>
          </w:tcPr>
          <w:p w:rsidR="00B32185" w:rsidRPr="006C7B09" w:rsidRDefault="00B32185" w:rsidP="007248F0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6C7B09">
              <w:rPr>
                <w:rFonts w:asciiTheme="majorHAnsi" w:hAnsiTheme="majorHAnsi" w:cstheme="majorHAnsi"/>
                <w:sz w:val="20"/>
                <w:szCs w:val="20"/>
              </w:rPr>
              <w:t xml:space="preserve">1 </w:t>
            </w:r>
            <w:r w:rsidRPr="006C7B09">
              <w:rPr>
                <w:rFonts w:asciiTheme="majorHAnsi" w:hAnsiTheme="majorHAnsi" w:cstheme="majorHAnsi"/>
                <w:sz w:val="20"/>
                <w:szCs w:val="20"/>
                <w:lang w:val="sr-Cyrl-RS"/>
              </w:rPr>
              <w:t>по години</w:t>
            </w:r>
            <w:r w:rsidRPr="006C7B09">
              <w:rPr>
                <w:rFonts w:asciiTheme="majorHAnsi" w:hAnsiTheme="majorHAnsi" w:cstheme="majorHAnsi"/>
                <w:sz w:val="20"/>
                <w:szCs w:val="20"/>
              </w:rPr>
              <w:t xml:space="preserve"> (</w:t>
            </w:r>
            <w:r w:rsidRPr="006C7B09">
              <w:rPr>
                <w:rFonts w:asciiTheme="majorHAnsi" w:hAnsiTheme="majorHAnsi" w:cstheme="majorHAnsi"/>
                <w:sz w:val="20"/>
                <w:szCs w:val="20"/>
                <w:lang w:val="sr-Cyrl-RS"/>
              </w:rPr>
              <w:t>референтна година</w:t>
            </w:r>
            <w:r w:rsidRPr="006C7B09">
              <w:rPr>
                <w:rFonts w:asciiTheme="majorHAnsi" w:hAnsiTheme="majorHAnsi" w:cstheme="majorHAnsi"/>
                <w:sz w:val="20"/>
                <w:szCs w:val="20"/>
              </w:rPr>
              <w:t xml:space="preserve"> + 2 </w:t>
            </w:r>
            <w:r w:rsidRPr="006C7B09">
              <w:rPr>
                <w:rFonts w:asciiTheme="majorHAnsi" w:hAnsiTheme="majorHAnsi" w:cstheme="majorHAnsi"/>
                <w:sz w:val="20"/>
                <w:szCs w:val="20"/>
                <w:lang w:val="sr-Cyrl-RS"/>
              </w:rPr>
              <w:t>месеца</w:t>
            </w:r>
            <w:r w:rsidRPr="006C7B09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</w:tr>
      <w:tr w:rsidR="00B32185" w:rsidRPr="006C7B09" w:rsidTr="00251E96">
        <w:trPr>
          <w:jc w:val="center"/>
        </w:trPr>
        <w:tc>
          <w:tcPr>
            <w:tcW w:w="2321" w:type="dxa"/>
            <w:vMerge/>
            <w:vAlign w:val="center"/>
          </w:tcPr>
          <w:p w:rsidR="00B32185" w:rsidRPr="006C7B09" w:rsidRDefault="00B32185" w:rsidP="008775ED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699" w:type="dxa"/>
            <w:tcBorders>
              <w:top w:val="single" w:sz="8" w:space="0" w:color="A8D08D" w:themeColor="accent6" w:themeTint="99"/>
              <w:bottom w:val="single" w:sz="8" w:space="0" w:color="A8D08D" w:themeColor="accent6" w:themeTint="99"/>
            </w:tcBorders>
            <w:vAlign w:val="center"/>
          </w:tcPr>
          <w:p w:rsidR="00B32185" w:rsidRPr="006C7B09" w:rsidRDefault="00B32185" w:rsidP="007248F0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6C7B09">
              <w:rPr>
                <w:rFonts w:asciiTheme="majorHAnsi" w:hAnsiTheme="majorHAnsi" w:cstheme="majorHAnsi"/>
                <w:sz w:val="20"/>
                <w:szCs w:val="20"/>
                <w:lang w:val="sr-Cyrl-RS"/>
              </w:rPr>
              <w:t xml:space="preserve">Бруто домаћи производ </w:t>
            </w:r>
            <w:r w:rsidRPr="006C7B09">
              <w:rPr>
                <w:rFonts w:asciiTheme="majorHAnsi" w:hAnsiTheme="majorHAnsi" w:cstheme="majorHAnsi"/>
                <w:sz w:val="20"/>
                <w:szCs w:val="20"/>
              </w:rPr>
              <w:t xml:space="preserve">– </w:t>
            </w:r>
            <w:r w:rsidRPr="006C7B09">
              <w:rPr>
                <w:rFonts w:asciiTheme="majorHAnsi" w:hAnsiTheme="majorHAnsi" w:cstheme="majorHAnsi"/>
                <w:sz w:val="20"/>
                <w:szCs w:val="20"/>
                <w:lang w:val="sr-Cyrl-RS"/>
              </w:rPr>
              <w:t>годишњи обрачун, претходни подаци</w:t>
            </w:r>
          </w:p>
        </w:tc>
        <w:tc>
          <w:tcPr>
            <w:tcW w:w="2194" w:type="dxa"/>
            <w:tcBorders>
              <w:top w:val="single" w:sz="8" w:space="0" w:color="A8D08D" w:themeColor="accent6" w:themeTint="99"/>
              <w:bottom w:val="single" w:sz="8" w:space="0" w:color="A8D08D" w:themeColor="accent6" w:themeTint="99"/>
            </w:tcBorders>
            <w:vAlign w:val="center"/>
          </w:tcPr>
          <w:p w:rsidR="00B32185" w:rsidRPr="006C7B09" w:rsidRDefault="00B32185" w:rsidP="007248F0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6C7B09">
              <w:rPr>
                <w:rFonts w:asciiTheme="majorHAnsi" w:hAnsiTheme="majorHAnsi" w:cstheme="majorHAnsi"/>
                <w:sz w:val="20"/>
                <w:szCs w:val="20"/>
              </w:rPr>
              <w:t xml:space="preserve">1 </w:t>
            </w:r>
            <w:r w:rsidRPr="006C7B09">
              <w:rPr>
                <w:rFonts w:asciiTheme="majorHAnsi" w:hAnsiTheme="majorHAnsi" w:cstheme="majorHAnsi"/>
                <w:sz w:val="20"/>
                <w:szCs w:val="20"/>
                <w:lang w:val="sr-Cyrl-RS"/>
              </w:rPr>
              <w:t xml:space="preserve">по години </w:t>
            </w:r>
            <w:r w:rsidRPr="006C7B09"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r w:rsidRPr="006C7B09">
              <w:rPr>
                <w:rFonts w:asciiTheme="majorHAnsi" w:hAnsiTheme="majorHAnsi" w:cstheme="majorHAnsi"/>
                <w:sz w:val="20"/>
                <w:szCs w:val="20"/>
                <w:lang w:val="sr-Cyrl-RS"/>
              </w:rPr>
              <w:t>референтна година</w:t>
            </w:r>
            <w:r w:rsidRPr="006C7B09">
              <w:rPr>
                <w:rFonts w:asciiTheme="majorHAnsi" w:hAnsiTheme="majorHAnsi" w:cstheme="majorHAnsi"/>
                <w:sz w:val="20"/>
                <w:szCs w:val="20"/>
              </w:rPr>
              <w:t xml:space="preserve"> + 9 </w:t>
            </w:r>
            <w:r w:rsidRPr="006C7B09">
              <w:rPr>
                <w:rFonts w:asciiTheme="majorHAnsi" w:hAnsiTheme="majorHAnsi" w:cstheme="majorHAnsi"/>
                <w:sz w:val="20"/>
                <w:szCs w:val="20"/>
                <w:lang w:val="sr-Cyrl-RS"/>
              </w:rPr>
              <w:t>месеци</w:t>
            </w:r>
            <w:r w:rsidRPr="006C7B09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</w:tr>
      <w:tr w:rsidR="00B32185" w:rsidRPr="006C7B09" w:rsidTr="00251E96">
        <w:trPr>
          <w:jc w:val="center"/>
        </w:trPr>
        <w:tc>
          <w:tcPr>
            <w:tcW w:w="2321" w:type="dxa"/>
            <w:vMerge/>
            <w:tcBorders>
              <w:bottom w:val="single" w:sz="8" w:space="0" w:color="A8D08D" w:themeColor="accent6" w:themeTint="99"/>
            </w:tcBorders>
            <w:vAlign w:val="center"/>
          </w:tcPr>
          <w:p w:rsidR="00B32185" w:rsidRPr="006C7B09" w:rsidRDefault="00B32185" w:rsidP="008775ED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699" w:type="dxa"/>
            <w:tcBorders>
              <w:top w:val="single" w:sz="8" w:space="0" w:color="A8D08D" w:themeColor="accent6" w:themeTint="99"/>
              <w:bottom w:val="single" w:sz="8" w:space="0" w:color="A8D08D" w:themeColor="accent6" w:themeTint="99"/>
            </w:tcBorders>
            <w:vAlign w:val="center"/>
          </w:tcPr>
          <w:p w:rsidR="00B32185" w:rsidRPr="006C7B09" w:rsidRDefault="00B32185" w:rsidP="005235BE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6C7B09">
              <w:rPr>
                <w:rFonts w:asciiTheme="majorHAnsi" w:hAnsiTheme="majorHAnsi" w:cstheme="majorHAnsi"/>
                <w:sz w:val="20"/>
                <w:szCs w:val="20"/>
                <w:lang w:val="sr-Cyrl-RS"/>
              </w:rPr>
              <w:t xml:space="preserve">Бруто домаћи производ </w:t>
            </w:r>
            <w:r w:rsidRPr="006C7B09">
              <w:rPr>
                <w:rFonts w:asciiTheme="majorHAnsi" w:hAnsiTheme="majorHAnsi" w:cstheme="majorHAnsi"/>
                <w:sz w:val="20"/>
                <w:szCs w:val="20"/>
              </w:rPr>
              <w:t xml:space="preserve">– </w:t>
            </w:r>
            <w:r w:rsidRPr="006C7B09">
              <w:rPr>
                <w:rFonts w:asciiTheme="majorHAnsi" w:hAnsiTheme="majorHAnsi" w:cstheme="majorHAnsi"/>
                <w:sz w:val="20"/>
                <w:szCs w:val="20"/>
                <w:lang w:val="sr-Cyrl-RS"/>
              </w:rPr>
              <w:t>базиран на</w:t>
            </w:r>
            <w:r w:rsidRPr="006C7B0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6C7B09">
              <w:rPr>
                <w:rFonts w:asciiTheme="majorHAnsi" w:hAnsiTheme="majorHAnsi" w:cstheme="majorHAnsi"/>
                <w:i/>
                <w:sz w:val="20"/>
                <w:szCs w:val="20"/>
              </w:rPr>
              <w:t>SUT-IOT</w:t>
            </w:r>
            <w:r w:rsidRPr="006C7B09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r w:rsidRPr="006C7B09">
              <w:rPr>
                <w:rFonts w:asciiTheme="majorHAnsi" w:hAnsiTheme="majorHAnsi" w:cstheme="majorHAnsi"/>
                <w:sz w:val="20"/>
                <w:szCs w:val="20"/>
                <w:lang w:val="sr-Cyrl-RS"/>
              </w:rPr>
              <w:t xml:space="preserve">коначни подаци </w:t>
            </w:r>
          </w:p>
        </w:tc>
        <w:tc>
          <w:tcPr>
            <w:tcW w:w="2194" w:type="dxa"/>
            <w:tcBorders>
              <w:top w:val="single" w:sz="8" w:space="0" w:color="A8D08D" w:themeColor="accent6" w:themeTint="99"/>
              <w:bottom w:val="single" w:sz="8" w:space="0" w:color="A8D08D" w:themeColor="accent6" w:themeTint="99"/>
            </w:tcBorders>
            <w:vAlign w:val="center"/>
          </w:tcPr>
          <w:p w:rsidR="00B32185" w:rsidRPr="006C7B09" w:rsidRDefault="00B32185" w:rsidP="007248F0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6C7B09">
              <w:rPr>
                <w:rFonts w:asciiTheme="majorHAnsi" w:hAnsiTheme="majorHAnsi" w:cstheme="majorHAnsi"/>
                <w:sz w:val="20"/>
                <w:szCs w:val="20"/>
              </w:rPr>
              <w:t xml:space="preserve">1 </w:t>
            </w:r>
            <w:r w:rsidRPr="006C7B09">
              <w:rPr>
                <w:rFonts w:asciiTheme="majorHAnsi" w:hAnsiTheme="majorHAnsi" w:cstheme="majorHAnsi"/>
                <w:sz w:val="20"/>
                <w:szCs w:val="20"/>
                <w:lang w:val="sr-Cyrl-RS"/>
              </w:rPr>
              <w:t xml:space="preserve">по години </w:t>
            </w:r>
            <w:r w:rsidRPr="006C7B09"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r w:rsidRPr="006C7B09">
              <w:rPr>
                <w:rFonts w:asciiTheme="majorHAnsi" w:hAnsiTheme="majorHAnsi" w:cstheme="majorHAnsi"/>
                <w:sz w:val="20"/>
                <w:szCs w:val="20"/>
                <w:lang w:val="sr-Cyrl-RS"/>
              </w:rPr>
              <w:t>референтна година</w:t>
            </w:r>
            <w:r w:rsidRPr="006C7B09">
              <w:rPr>
                <w:rFonts w:asciiTheme="majorHAnsi" w:hAnsiTheme="majorHAnsi" w:cstheme="majorHAnsi"/>
                <w:sz w:val="20"/>
                <w:szCs w:val="20"/>
              </w:rPr>
              <w:t xml:space="preserve"> + 21 </w:t>
            </w:r>
            <w:r w:rsidRPr="006C7B09">
              <w:rPr>
                <w:rFonts w:asciiTheme="majorHAnsi" w:hAnsiTheme="majorHAnsi" w:cstheme="majorHAnsi"/>
                <w:sz w:val="20"/>
                <w:szCs w:val="20"/>
                <w:lang w:val="sr-Cyrl-RS"/>
              </w:rPr>
              <w:t>месец</w:t>
            </w:r>
            <w:r w:rsidRPr="006C7B09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</w:tr>
      <w:tr w:rsidR="00895740" w:rsidRPr="006C7B09" w:rsidTr="00D21DC9">
        <w:trPr>
          <w:jc w:val="center"/>
        </w:trPr>
        <w:tc>
          <w:tcPr>
            <w:tcW w:w="2321" w:type="dxa"/>
            <w:tcBorders>
              <w:top w:val="single" w:sz="8" w:space="0" w:color="A8D08D" w:themeColor="accent6" w:themeTint="99"/>
              <w:bottom w:val="single" w:sz="8" w:space="0" w:color="A8D08D" w:themeColor="accent6" w:themeTint="99"/>
            </w:tcBorders>
            <w:vAlign w:val="center"/>
          </w:tcPr>
          <w:p w:rsidR="00895740" w:rsidRPr="006C7B09" w:rsidRDefault="005044DE" w:rsidP="00895740">
            <w:pPr>
              <w:spacing w:line="276" w:lineRule="auto"/>
              <w:rPr>
                <w:rFonts w:asciiTheme="majorHAnsi" w:hAnsiTheme="majorHAnsi" w:cstheme="majorHAnsi"/>
                <w:b/>
                <w:sz w:val="20"/>
                <w:szCs w:val="20"/>
                <w:lang w:val="sr-Cyrl-RS"/>
              </w:rPr>
            </w:pPr>
            <w:r w:rsidRPr="006C7B09">
              <w:rPr>
                <w:rFonts w:asciiTheme="majorHAnsi" w:hAnsiTheme="majorHAnsi" w:cstheme="majorHAnsi"/>
                <w:b/>
                <w:sz w:val="20"/>
                <w:szCs w:val="20"/>
                <w:lang w:val="sr-Cyrl-RS"/>
              </w:rPr>
              <w:t>Нефинанси</w:t>
            </w:r>
            <w:r w:rsidR="00895740" w:rsidRPr="006C7B09">
              <w:rPr>
                <w:rFonts w:asciiTheme="majorHAnsi" w:hAnsiTheme="majorHAnsi" w:cstheme="majorHAnsi"/>
                <w:b/>
                <w:sz w:val="20"/>
                <w:szCs w:val="20"/>
                <w:lang w:val="sr-Cyrl-RS"/>
              </w:rPr>
              <w:t>ј</w:t>
            </w:r>
            <w:r w:rsidRPr="006C7B09">
              <w:rPr>
                <w:rFonts w:asciiTheme="majorHAnsi" w:hAnsiTheme="majorHAnsi" w:cstheme="majorHAnsi"/>
                <w:b/>
                <w:sz w:val="20"/>
                <w:szCs w:val="20"/>
                <w:lang w:val="sr-Cyrl-RS"/>
              </w:rPr>
              <w:t>с</w:t>
            </w:r>
            <w:r w:rsidR="00895740" w:rsidRPr="006C7B09">
              <w:rPr>
                <w:rFonts w:asciiTheme="majorHAnsi" w:hAnsiTheme="majorHAnsi" w:cstheme="majorHAnsi"/>
                <w:b/>
                <w:sz w:val="20"/>
                <w:szCs w:val="20"/>
                <w:lang w:val="sr-Cyrl-RS"/>
              </w:rPr>
              <w:t>ки секторски рачуни</w:t>
            </w:r>
          </w:p>
        </w:tc>
        <w:tc>
          <w:tcPr>
            <w:tcW w:w="4699" w:type="dxa"/>
            <w:tcBorders>
              <w:top w:val="single" w:sz="8" w:space="0" w:color="A8D08D" w:themeColor="accent6" w:themeTint="99"/>
              <w:bottom w:val="single" w:sz="8" w:space="0" w:color="A8D08D" w:themeColor="accent6" w:themeTint="99"/>
            </w:tcBorders>
            <w:vAlign w:val="center"/>
          </w:tcPr>
          <w:p w:rsidR="00895740" w:rsidRPr="006C7B09" w:rsidRDefault="00895740" w:rsidP="007248F0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sr-Cyrl-RS"/>
              </w:rPr>
            </w:pPr>
            <w:r w:rsidRPr="006C7B09">
              <w:rPr>
                <w:rFonts w:asciiTheme="majorHAnsi" w:hAnsiTheme="majorHAnsi" w:cstheme="majorHAnsi"/>
                <w:sz w:val="20"/>
                <w:szCs w:val="20"/>
                <w:lang w:val="sr-Cyrl-RS"/>
              </w:rPr>
              <w:t>Годишњи нефинансијски секторски рачуни</w:t>
            </w:r>
          </w:p>
        </w:tc>
        <w:tc>
          <w:tcPr>
            <w:tcW w:w="2194" w:type="dxa"/>
            <w:tcBorders>
              <w:top w:val="single" w:sz="8" w:space="0" w:color="A8D08D" w:themeColor="accent6" w:themeTint="99"/>
              <w:bottom w:val="single" w:sz="8" w:space="0" w:color="A8D08D" w:themeColor="accent6" w:themeTint="99"/>
            </w:tcBorders>
            <w:vAlign w:val="center"/>
          </w:tcPr>
          <w:p w:rsidR="00895740" w:rsidRPr="006C7B09" w:rsidRDefault="00895740" w:rsidP="007248F0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6C7B09">
              <w:rPr>
                <w:rFonts w:asciiTheme="majorHAnsi" w:hAnsiTheme="majorHAnsi" w:cstheme="majorHAnsi"/>
                <w:sz w:val="20"/>
                <w:szCs w:val="20"/>
              </w:rPr>
              <w:t xml:space="preserve">1 </w:t>
            </w:r>
            <w:r w:rsidRPr="006C7B09">
              <w:rPr>
                <w:rFonts w:asciiTheme="majorHAnsi" w:hAnsiTheme="majorHAnsi" w:cstheme="majorHAnsi"/>
                <w:sz w:val="20"/>
                <w:szCs w:val="20"/>
                <w:lang w:val="sr-Cyrl-RS"/>
              </w:rPr>
              <w:t xml:space="preserve">по години </w:t>
            </w:r>
            <w:r w:rsidRPr="006C7B09"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r w:rsidRPr="006C7B09">
              <w:rPr>
                <w:rFonts w:asciiTheme="majorHAnsi" w:hAnsiTheme="majorHAnsi" w:cstheme="majorHAnsi"/>
                <w:sz w:val="20"/>
                <w:szCs w:val="20"/>
                <w:lang w:val="sr-Cyrl-RS"/>
              </w:rPr>
              <w:t>референтна година</w:t>
            </w:r>
            <w:r w:rsidRPr="006C7B09">
              <w:rPr>
                <w:rFonts w:asciiTheme="majorHAnsi" w:hAnsiTheme="majorHAnsi" w:cstheme="majorHAnsi"/>
                <w:sz w:val="20"/>
                <w:szCs w:val="20"/>
              </w:rPr>
              <w:t xml:space="preserve"> + 11 </w:t>
            </w:r>
            <w:r w:rsidRPr="006C7B09">
              <w:rPr>
                <w:rFonts w:asciiTheme="majorHAnsi" w:hAnsiTheme="majorHAnsi" w:cstheme="majorHAnsi"/>
                <w:sz w:val="20"/>
                <w:szCs w:val="20"/>
                <w:lang w:val="sr-Cyrl-RS"/>
              </w:rPr>
              <w:t>месец</w:t>
            </w:r>
            <w:r w:rsidR="005044DE" w:rsidRPr="006C7B09">
              <w:rPr>
                <w:rFonts w:asciiTheme="majorHAnsi" w:hAnsiTheme="majorHAnsi" w:cstheme="majorHAnsi"/>
                <w:sz w:val="20"/>
                <w:szCs w:val="20"/>
                <w:lang w:val="sr-Cyrl-RS"/>
              </w:rPr>
              <w:t>и</w:t>
            </w:r>
            <w:r w:rsidRPr="006C7B09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</w:tr>
      <w:tr w:rsidR="008775ED" w:rsidRPr="006C7B09" w:rsidTr="00D21DC9">
        <w:trPr>
          <w:jc w:val="center"/>
        </w:trPr>
        <w:tc>
          <w:tcPr>
            <w:tcW w:w="2321" w:type="dxa"/>
            <w:vMerge w:val="restart"/>
            <w:tcBorders>
              <w:top w:val="single" w:sz="8" w:space="0" w:color="A8D08D" w:themeColor="accent6" w:themeTint="99"/>
              <w:bottom w:val="single" w:sz="8" w:space="0" w:color="A8D08D" w:themeColor="accent6" w:themeTint="99"/>
            </w:tcBorders>
            <w:vAlign w:val="center"/>
          </w:tcPr>
          <w:p w:rsidR="008775ED" w:rsidRPr="006C7B09" w:rsidRDefault="00AE321C" w:rsidP="008775ED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C7B09">
              <w:rPr>
                <w:rFonts w:asciiTheme="majorHAnsi" w:hAnsiTheme="majorHAnsi" w:cstheme="majorHAnsi"/>
                <w:b/>
                <w:sz w:val="20"/>
                <w:szCs w:val="20"/>
                <w:lang w:val="sr-Cyrl-RS"/>
              </w:rPr>
              <w:t>Регионални рачуни</w:t>
            </w:r>
          </w:p>
        </w:tc>
        <w:tc>
          <w:tcPr>
            <w:tcW w:w="4699" w:type="dxa"/>
            <w:tcBorders>
              <w:top w:val="single" w:sz="8" w:space="0" w:color="A8D08D" w:themeColor="accent6" w:themeTint="99"/>
              <w:bottom w:val="single" w:sz="8" w:space="0" w:color="A8D08D" w:themeColor="accent6" w:themeTint="99"/>
            </w:tcBorders>
            <w:vAlign w:val="center"/>
          </w:tcPr>
          <w:p w:rsidR="008775ED" w:rsidRPr="006C7B09" w:rsidRDefault="00AE321C" w:rsidP="007248F0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6C7B09">
              <w:rPr>
                <w:rFonts w:asciiTheme="majorHAnsi" w:hAnsiTheme="majorHAnsi" w:cstheme="majorHAnsi"/>
                <w:sz w:val="20"/>
                <w:szCs w:val="20"/>
                <w:lang w:val="sr-Cyrl-RS"/>
              </w:rPr>
              <w:t xml:space="preserve">Регионални </w:t>
            </w:r>
            <w:r w:rsidR="008775ED" w:rsidRPr="006C7B0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6C7B09">
              <w:rPr>
                <w:rFonts w:asciiTheme="majorHAnsi" w:hAnsiTheme="majorHAnsi" w:cstheme="majorHAnsi"/>
                <w:sz w:val="20"/>
                <w:szCs w:val="20"/>
                <w:lang w:val="sr-Cyrl-RS"/>
              </w:rPr>
              <w:t>БДП</w:t>
            </w:r>
          </w:p>
        </w:tc>
        <w:tc>
          <w:tcPr>
            <w:tcW w:w="2194" w:type="dxa"/>
            <w:tcBorders>
              <w:top w:val="single" w:sz="8" w:space="0" w:color="A8D08D" w:themeColor="accent6" w:themeTint="99"/>
              <w:bottom w:val="single" w:sz="8" w:space="0" w:color="A8D08D" w:themeColor="accent6" w:themeTint="99"/>
            </w:tcBorders>
            <w:vAlign w:val="center"/>
          </w:tcPr>
          <w:p w:rsidR="008775ED" w:rsidRPr="006C7B09" w:rsidRDefault="008775ED" w:rsidP="007248F0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6C7B09">
              <w:rPr>
                <w:rFonts w:asciiTheme="majorHAnsi" w:hAnsiTheme="majorHAnsi" w:cstheme="majorHAnsi"/>
                <w:sz w:val="20"/>
                <w:szCs w:val="20"/>
              </w:rPr>
              <w:t xml:space="preserve">1 </w:t>
            </w:r>
            <w:r w:rsidR="00416C35" w:rsidRPr="006C7B09">
              <w:rPr>
                <w:rFonts w:asciiTheme="majorHAnsi" w:hAnsiTheme="majorHAnsi" w:cstheme="majorHAnsi"/>
                <w:sz w:val="20"/>
                <w:szCs w:val="20"/>
                <w:lang w:val="sr-Cyrl-RS"/>
              </w:rPr>
              <w:t>по години</w:t>
            </w:r>
            <w:r w:rsidRPr="006C7B09">
              <w:rPr>
                <w:rFonts w:asciiTheme="majorHAnsi" w:hAnsiTheme="majorHAnsi" w:cstheme="majorHAnsi"/>
                <w:sz w:val="20"/>
                <w:szCs w:val="20"/>
              </w:rPr>
              <w:t xml:space="preserve"> (</w:t>
            </w:r>
            <w:r w:rsidR="00416C35" w:rsidRPr="006C7B09">
              <w:rPr>
                <w:rFonts w:asciiTheme="majorHAnsi" w:hAnsiTheme="majorHAnsi" w:cstheme="majorHAnsi"/>
                <w:sz w:val="20"/>
                <w:szCs w:val="20"/>
                <w:lang w:val="sr-Cyrl-RS"/>
              </w:rPr>
              <w:t>референтна година</w:t>
            </w:r>
            <w:r w:rsidR="007A72A1" w:rsidRPr="006C7B09">
              <w:rPr>
                <w:rFonts w:asciiTheme="majorHAnsi" w:hAnsiTheme="majorHAnsi" w:cstheme="majorHAnsi"/>
                <w:sz w:val="20"/>
                <w:szCs w:val="20"/>
              </w:rPr>
              <w:t xml:space="preserve"> + 11 </w:t>
            </w:r>
            <w:r w:rsidR="00416C35" w:rsidRPr="006C7B09">
              <w:rPr>
                <w:rFonts w:asciiTheme="majorHAnsi" w:hAnsiTheme="majorHAnsi" w:cstheme="majorHAnsi"/>
                <w:sz w:val="20"/>
                <w:szCs w:val="20"/>
                <w:lang w:val="sr-Cyrl-RS"/>
              </w:rPr>
              <w:t>месеци</w:t>
            </w:r>
            <w:r w:rsidRPr="006C7B09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</w:tr>
      <w:tr w:rsidR="008775ED" w:rsidRPr="006C7B09" w:rsidTr="00D21DC9">
        <w:trPr>
          <w:jc w:val="center"/>
        </w:trPr>
        <w:tc>
          <w:tcPr>
            <w:tcW w:w="2321" w:type="dxa"/>
            <w:vMerge/>
            <w:tcBorders>
              <w:top w:val="single" w:sz="8" w:space="0" w:color="A8D08D" w:themeColor="accent6" w:themeTint="99"/>
              <w:bottom w:val="single" w:sz="8" w:space="0" w:color="A8D08D" w:themeColor="accent6" w:themeTint="99"/>
            </w:tcBorders>
            <w:vAlign w:val="center"/>
          </w:tcPr>
          <w:p w:rsidR="008775ED" w:rsidRPr="006C7B09" w:rsidRDefault="008775ED" w:rsidP="008775ED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699" w:type="dxa"/>
            <w:tcBorders>
              <w:top w:val="single" w:sz="8" w:space="0" w:color="A8D08D" w:themeColor="accent6" w:themeTint="99"/>
              <w:bottom w:val="single" w:sz="8" w:space="0" w:color="A8D08D" w:themeColor="accent6" w:themeTint="99"/>
            </w:tcBorders>
            <w:vAlign w:val="center"/>
          </w:tcPr>
          <w:p w:rsidR="008775ED" w:rsidRPr="006C7B09" w:rsidRDefault="00AE321C" w:rsidP="007248F0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6C7B09">
              <w:rPr>
                <w:rFonts w:asciiTheme="majorHAnsi" w:hAnsiTheme="majorHAnsi" w:cstheme="majorHAnsi"/>
                <w:sz w:val="20"/>
                <w:szCs w:val="20"/>
                <w:lang w:val="sr-Cyrl-RS"/>
              </w:rPr>
              <w:t>Регионал</w:t>
            </w:r>
            <w:r w:rsidR="006469A4" w:rsidRPr="006C7B09">
              <w:rPr>
                <w:rFonts w:asciiTheme="majorHAnsi" w:hAnsiTheme="majorHAnsi" w:cstheme="majorHAnsi"/>
                <w:sz w:val="20"/>
                <w:szCs w:val="20"/>
                <w:lang w:val="sr-Cyrl-RS"/>
              </w:rPr>
              <w:t>н</w:t>
            </w:r>
            <w:r w:rsidRPr="006C7B09">
              <w:rPr>
                <w:rFonts w:asciiTheme="majorHAnsi" w:hAnsiTheme="majorHAnsi" w:cstheme="majorHAnsi"/>
                <w:sz w:val="20"/>
                <w:szCs w:val="20"/>
                <w:lang w:val="sr-Cyrl-RS"/>
              </w:rPr>
              <w:t>и БДП</w:t>
            </w:r>
            <w:r w:rsidR="008775ED" w:rsidRPr="006C7B09">
              <w:rPr>
                <w:rFonts w:asciiTheme="majorHAnsi" w:hAnsiTheme="majorHAnsi" w:cstheme="majorHAnsi"/>
                <w:sz w:val="20"/>
                <w:szCs w:val="20"/>
              </w:rPr>
              <w:t xml:space="preserve"> – </w:t>
            </w:r>
            <w:r w:rsidR="00341C68" w:rsidRPr="006C7B09">
              <w:rPr>
                <w:rFonts w:asciiTheme="majorHAnsi" w:hAnsiTheme="majorHAnsi" w:cstheme="majorHAnsi"/>
                <w:sz w:val="20"/>
                <w:szCs w:val="20"/>
                <w:lang w:val="sr-Cyrl-RS"/>
              </w:rPr>
              <w:t>НСТЈ3,</w:t>
            </w:r>
            <w:r w:rsidR="00341C68" w:rsidRPr="006C7B0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341C68" w:rsidRPr="006C7B09">
              <w:rPr>
                <w:rFonts w:asciiTheme="majorHAnsi" w:hAnsiTheme="majorHAnsi" w:cstheme="majorHAnsi"/>
                <w:sz w:val="20"/>
                <w:szCs w:val="20"/>
                <w:lang w:val="sr-Cyrl-RS"/>
              </w:rPr>
              <w:t>по делатностима (А10)</w:t>
            </w:r>
          </w:p>
        </w:tc>
        <w:tc>
          <w:tcPr>
            <w:tcW w:w="2194" w:type="dxa"/>
            <w:tcBorders>
              <w:top w:val="single" w:sz="8" w:space="0" w:color="A8D08D" w:themeColor="accent6" w:themeTint="99"/>
              <w:bottom w:val="single" w:sz="8" w:space="0" w:color="A8D08D" w:themeColor="accent6" w:themeTint="99"/>
            </w:tcBorders>
            <w:vAlign w:val="center"/>
          </w:tcPr>
          <w:p w:rsidR="008775ED" w:rsidRPr="006C7B09" w:rsidRDefault="008775ED" w:rsidP="007248F0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6C7B09">
              <w:rPr>
                <w:rFonts w:asciiTheme="majorHAnsi" w:hAnsiTheme="majorHAnsi" w:cstheme="majorHAnsi"/>
                <w:sz w:val="20"/>
                <w:szCs w:val="20"/>
              </w:rPr>
              <w:t xml:space="preserve">1 </w:t>
            </w:r>
            <w:r w:rsidR="006469A4" w:rsidRPr="006C7B09">
              <w:rPr>
                <w:rFonts w:asciiTheme="majorHAnsi" w:hAnsiTheme="majorHAnsi" w:cstheme="majorHAnsi"/>
                <w:sz w:val="20"/>
                <w:szCs w:val="20"/>
                <w:lang w:val="sr-Cyrl-RS"/>
              </w:rPr>
              <w:t xml:space="preserve">по години </w:t>
            </w:r>
            <w:r w:rsidRPr="006C7B09"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r w:rsidR="006416C7" w:rsidRPr="006C7B09">
              <w:rPr>
                <w:rFonts w:asciiTheme="majorHAnsi" w:hAnsiTheme="majorHAnsi" w:cstheme="majorHAnsi"/>
                <w:sz w:val="20"/>
                <w:szCs w:val="20"/>
                <w:lang w:val="sr-Cyrl-RS"/>
              </w:rPr>
              <w:t xml:space="preserve">референтна година </w:t>
            </w:r>
            <w:r w:rsidR="007A72A1" w:rsidRPr="006C7B09">
              <w:rPr>
                <w:rFonts w:asciiTheme="majorHAnsi" w:hAnsiTheme="majorHAnsi" w:cstheme="majorHAnsi"/>
                <w:sz w:val="20"/>
                <w:szCs w:val="20"/>
              </w:rPr>
              <w:t xml:space="preserve">+ 15 </w:t>
            </w:r>
            <w:r w:rsidR="006416C7" w:rsidRPr="006C7B09">
              <w:rPr>
                <w:rFonts w:asciiTheme="majorHAnsi" w:hAnsiTheme="majorHAnsi" w:cstheme="majorHAnsi"/>
                <w:sz w:val="20"/>
                <w:szCs w:val="20"/>
                <w:lang w:val="sr-Cyrl-RS"/>
              </w:rPr>
              <w:t>месеци</w:t>
            </w:r>
            <w:r w:rsidRPr="006C7B09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</w:tr>
      <w:tr w:rsidR="008775ED" w:rsidRPr="006C7B09" w:rsidTr="00D21DC9">
        <w:trPr>
          <w:trHeight w:val="1025"/>
          <w:jc w:val="center"/>
        </w:trPr>
        <w:tc>
          <w:tcPr>
            <w:tcW w:w="2321" w:type="dxa"/>
            <w:tcBorders>
              <w:top w:val="single" w:sz="8" w:space="0" w:color="A8D08D" w:themeColor="accent6" w:themeTint="99"/>
              <w:bottom w:val="single" w:sz="8" w:space="0" w:color="A8D08D" w:themeColor="accent6" w:themeTint="99"/>
            </w:tcBorders>
            <w:vAlign w:val="center"/>
          </w:tcPr>
          <w:p w:rsidR="008775ED" w:rsidRPr="006C7B09" w:rsidRDefault="002E1140" w:rsidP="002E1140">
            <w:pPr>
              <w:spacing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C7B09">
              <w:rPr>
                <w:rFonts w:asciiTheme="majorHAnsi" w:hAnsiTheme="majorHAnsi" w:cstheme="majorHAnsi"/>
                <w:b/>
                <w:sz w:val="20"/>
                <w:szCs w:val="20"/>
                <w:lang w:val="sr-Cyrl-RS"/>
              </w:rPr>
              <w:t>Табеле понуде и употребе и инпут-аутпут табеле</w:t>
            </w:r>
          </w:p>
        </w:tc>
        <w:tc>
          <w:tcPr>
            <w:tcW w:w="4699" w:type="dxa"/>
            <w:tcBorders>
              <w:top w:val="single" w:sz="8" w:space="0" w:color="A8D08D" w:themeColor="accent6" w:themeTint="99"/>
              <w:bottom w:val="single" w:sz="8" w:space="0" w:color="A8D08D" w:themeColor="accent6" w:themeTint="99"/>
            </w:tcBorders>
            <w:vAlign w:val="center"/>
          </w:tcPr>
          <w:p w:rsidR="008775ED" w:rsidRPr="006C7B09" w:rsidRDefault="006469A4" w:rsidP="007248F0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sr-Cyrl-RS"/>
              </w:rPr>
            </w:pPr>
            <w:r w:rsidRPr="006C7B09">
              <w:rPr>
                <w:rFonts w:asciiTheme="majorHAnsi" w:hAnsiTheme="majorHAnsi" w:cstheme="majorHAnsi"/>
                <w:sz w:val="20"/>
                <w:szCs w:val="20"/>
                <w:lang w:val="sr-Cyrl-RS"/>
              </w:rPr>
              <w:t>Т</w:t>
            </w:r>
            <w:r w:rsidR="00A419B4" w:rsidRPr="006C7B09">
              <w:rPr>
                <w:rFonts w:asciiTheme="majorHAnsi" w:hAnsiTheme="majorHAnsi" w:cstheme="majorHAnsi"/>
                <w:sz w:val="20"/>
                <w:szCs w:val="20"/>
                <w:lang w:val="sr-Cyrl-RS"/>
              </w:rPr>
              <w:t>абеле понуде и употребе и инпут-аутпут табеле</w:t>
            </w:r>
            <w:r w:rsidR="00A419B4" w:rsidRPr="006C7B09" w:rsidDel="00A419B4">
              <w:rPr>
                <w:rFonts w:asciiTheme="majorHAnsi" w:hAnsiTheme="majorHAnsi" w:cstheme="majorHAnsi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2194" w:type="dxa"/>
            <w:tcBorders>
              <w:top w:val="single" w:sz="8" w:space="0" w:color="A8D08D" w:themeColor="accent6" w:themeTint="99"/>
              <w:bottom w:val="single" w:sz="8" w:space="0" w:color="A8D08D" w:themeColor="accent6" w:themeTint="99"/>
            </w:tcBorders>
            <w:vAlign w:val="center"/>
          </w:tcPr>
          <w:p w:rsidR="008775ED" w:rsidRPr="006C7B09" w:rsidRDefault="007A72A1" w:rsidP="007248F0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6C7B09">
              <w:rPr>
                <w:rFonts w:asciiTheme="majorHAnsi" w:hAnsiTheme="majorHAnsi" w:cstheme="majorHAnsi"/>
                <w:sz w:val="20"/>
                <w:szCs w:val="20"/>
              </w:rPr>
              <w:t xml:space="preserve">1 </w:t>
            </w:r>
            <w:r w:rsidR="006416C7" w:rsidRPr="006C7B09">
              <w:rPr>
                <w:rFonts w:asciiTheme="majorHAnsi" w:hAnsiTheme="majorHAnsi" w:cstheme="majorHAnsi"/>
                <w:sz w:val="20"/>
                <w:szCs w:val="20"/>
                <w:lang w:val="sr-Cyrl-RS"/>
              </w:rPr>
              <w:t>по години</w:t>
            </w:r>
            <w:r w:rsidRPr="006C7B09">
              <w:rPr>
                <w:rFonts w:asciiTheme="majorHAnsi" w:hAnsiTheme="majorHAnsi" w:cstheme="majorHAnsi"/>
                <w:sz w:val="20"/>
                <w:szCs w:val="20"/>
              </w:rPr>
              <w:t xml:space="preserve"> (</w:t>
            </w:r>
            <w:r w:rsidR="006416C7" w:rsidRPr="006C7B09">
              <w:rPr>
                <w:rFonts w:asciiTheme="majorHAnsi" w:hAnsiTheme="majorHAnsi" w:cstheme="majorHAnsi"/>
                <w:sz w:val="20"/>
                <w:szCs w:val="20"/>
                <w:lang w:val="sr-Cyrl-RS"/>
              </w:rPr>
              <w:t xml:space="preserve">референтна година </w:t>
            </w:r>
            <w:r w:rsidRPr="006C7B09">
              <w:rPr>
                <w:rFonts w:asciiTheme="majorHAnsi" w:hAnsiTheme="majorHAnsi" w:cstheme="majorHAnsi"/>
                <w:sz w:val="20"/>
                <w:szCs w:val="20"/>
              </w:rPr>
              <w:t xml:space="preserve">+ 21 </w:t>
            </w:r>
            <w:r w:rsidR="006416C7" w:rsidRPr="006C7B09">
              <w:rPr>
                <w:rFonts w:asciiTheme="majorHAnsi" w:hAnsiTheme="majorHAnsi" w:cstheme="majorHAnsi"/>
                <w:sz w:val="20"/>
                <w:szCs w:val="20"/>
                <w:lang w:val="sr-Cyrl-RS"/>
              </w:rPr>
              <w:t>месец</w:t>
            </w:r>
            <w:r w:rsidRPr="006C7B09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</w:tr>
      <w:tr w:rsidR="008775ED" w:rsidRPr="006C7B09" w:rsidTr="00D21DC9">
        <w:trPr>
          <w:jc w:val="center"/>
        </w:trPr>
        <w:tc>
          <w:tcPr>
            <w:tcW w:w="2321" w:type="dxa"/>
            <w:tcBorders>
              <w:top w:val="single" w:sz="8" w:space="0" w:color="A8D08D" w:themeColor="accent6" w:themeTint="99"/>
              <w:bottom w:val="single" w:sz="8" w:space="0" w:color="auto"/>
            </w:tcBorders>
            <w:vAlign w:val="center"/>
          </w:tcPr>
          <w:p w:rsidR="008775ED" w:rsidRPr="006C7B09" w:rsidRDefault="00A419B4" w:rsidP="008775ED">
            <w:pPr>
              <w:spacing w:line="276" w:lineRule="auto"/>
              <w:rPr>
                <w:rFonts w:asciiTheme="majorHAnsi" w:hAnsiTheme="majorHAnsi" w:cstheme="majorHAnsi"/>
                <w:b/>
                <w:sz w:val="20"/>
                <w:szCs w:val="20"/>
                <w:lang w:val="sr-Cyrl-RS"/>
              </w:rPr>
            </w:pPr>
            <w:r w:rsidRPr="006C7B09">
              <w:rPr>
                <w:rFonts w:asciiTheme="majorHAnsi" w:hAnsiTheme="majorHAnsi" w:cstheme="majorHAnsi"/>
                <w:b/>
                <w:sz w:val="20"/>
                <w:szCs w:val="20"/>
                <w:lang w:val="sr-Cyrl-RS"/>
              </w:rPr>
              <w:t>Статистика државних финансија</w:t>
            </w:r>
          </w:p>
        </w:tc>
        <w:tc>
          <w:tcPr>
            <w:tcW w:w="4699" w:type="dxa"/>
            <w:tcBorders>
              <w:top w:val="single" w:sz="8" w:space="0" w:color="A8D08D" w:themeColor="accent6" w:themeTint="99"/>
              <w:bottom w:val="single" w:sz="8" w:space="0" w:color="auto"/>
            </w:tcBorders>
            <w:vAlign w:val="center"/>
          </w:tcPr>
          <w:p w:rsidR="008775ED" w:rsidRPr="006C7B09" w:rsidRDefault="00A419B4" w:rsidP="007248F0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sr-Cyrl-RS"/>
              </w:rPr>
            </w:pPr>
            <w:r w:rsidRPr="006C7B09">
              <w:rPr>
                <w:rFonts w:asciiTheme="majorHAnsi" w:hAnsiTheme="majorHAnsi" w:cstheme="majorHAnsi"/>
                <w:sz w:val="20"/>
                <w:szCs w:val="20"/>
                <w:lang w:val="sr-Cyrl-RS"/>
              </w:rPr>
              <w:t xml:space="preserve">Порески приходи </w:t>
            </w:r>
            <w:r w:rsidR="006416C7" w:rsidRPr="006C7B09">
              <w:rPr>
                <w:rFonts w:asciiTheme="majorHAnsi" w:hAnsiTheme="majorHAnsi" w:cstheme="majorHAnsi"/>
                <w:sz w:val="20"/>
                <w:szCs w:val="20"/>
                <w:lang w:val="sr-Cyrl-RS"/>
              </w:rPr>
              <w:t xml:space="preserve">и социјални </w:t>
            </w:r>
            <w:r w:rsidRPr="006C7B09">
              <w:rPr>
                <w:rFonts w:asciiTheme="majorHAnsi" w:hAnsiTheme="majorHAnsi" w:cstheme="majorHAnsi"/>
                <w:sz w:val="20"/>
                <w:szCs w:val="20"/>
                <w:lang w:val="sr-Cyrl-RS"/>
              </w:rPr>
              <w:t>допринос</w:t>
            </w:r>
            <w:r w:rsidR="006416C7" w:rsidRPr="006C7B09">
              <w:rPr>
                <w:rFonts w:asciiTheme="majorHAnsi" w:hAnsiTheme="majorHAnsi" w:cstheme="majorHAnsi"/>
                <w:sz w:val="20"/>
                <w:szCs w:val="20"/>
                <w:lang w:val="sr-Cyrl-RS"/>
              </w:rPr>
              <w:t>и</w:t>
            </w:r>
          </w:p>
        </w:tc>
        <w:tc>
          <w:tcPr>
            <w:tcW w:w="2194" w:type="dxa"/>
            <w:tcBorders>
              <w:top w:val="single" w:sz="8" w:space="0" w:color="A8D08D" w:themeColor="accent6" w:themeTint="99"/>
              <w:bottom w:val="single" w:sz="8" w:space="0" w:color="auto"/>
            </w:tcBorders>
            <w:vAlign w:val="center"/>
          </w:tcPr>
          <w:p w:rsidR="008775ED" w:rsidRPr="006C7B09" w:rsidRDefault="007901EE" w:rsidP="007248F0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sr-Cyrl-RS"/>
              </w:rPr>
            </w:pPr>
            <w:r w:rsidRPr="006C7B09">
              <w:rPr>
                <w:rFonts w:asciiTheme="majorHAnsi" w:hAnsiTheme="majorHAnsi" w:cstheme="majorHAnsi"/>
                <w:sz w:val="20"/>
                <w:szCs w:val="20"/>
                <w:lang w:val="sr-Cyrl-RS"/>
              </w:rPr>
              <w:t xml:space="preserve">1 </w:t>
            </w:r>
            <w:r w:rsidR="006416C7" w:rsidRPr="006C7B09">
              <w:rPr>
                <w:rFonts w:asciiTheme="majorHAnsi" w:hAnsiTheme="majorHAnsi" w:cstheme="majorHAnsi"/>
                <w:sz w:val="20"/>
                <w:szCs w:val="20"/>
                <w:lang w:val="sr-Cyrl-RS"/>
              </w:rPr>
              <w:t xml:space="preserve">по години </w:t>
            </w:r>
            <w:r w:rsidRPr="006C7B09">
              <w:rPr>
                <w:rFonts w:asciiTheme="majorHAnsi" w:hAnsiTheme="majorHAnsi" w:cstheme="majorHAnsi"/>
                <w:sz w:val="20"/>
                <w:szCs w:val="20"/>
                <w:lang w:val="sr-Cyrl-RS"/>
              </w:rPr>
              <w:t>(</w:t>
            </w:r>
            <w:r w:rsidR="006416C7" w:rsidRPr="006C7B09">
              <w:rPr>
                <w:rFonts w:asciiTheme="majorHAnsi" w:hAnsiTheme="majorHAnsi" w:cstheme="majorHAnsi"/>
                <w:sz w:val="20"/>
                <w:szCs w:val="20"/>
                <w:lang w:val="sr-Cyrl-RS"/>
              </w:rPr>
              <w:t xml:space="preserve">референтна година </w:t>
            </w:r>
            <w:r w:rsidRPr="006C7B09">
              <w:rPr>
                <w:rFonts w:asciiTheme="majorHAnsi" w:hAnsiTheme="majorHAnsi" w:cstheme="majorHAnsi"/>
                <w:sz w:val="20"/>
                <w:szCs w:val="20"/>
                <w:lang w:val="sr-Cyrl-RS"/>
              </w:rPr>
              <w:t xml:space="preserve">+ 9 </w:t>
            </w:r>
            <w:r w:rsidR="006416C7" w:rsidRPr="006C7B09">
              <w:rPr>
                <w:rFonts w:asciiTheme="majorHAnsi" w:hAnsiTheme="majorHAnsi" w:cstheme="majorHAnsi"/>
                <w:sz w:val="20"/>
                <w:szCs w:val="20"/>
                <w:lang w:val="sr-Cyrl-RS"/>
              </w:rPr>
              <w:t>месеци</w:t>
            </w:r>
            <w:r w:rsidRPr="006C7B09">
              <w:rPr>
                <w:rFonts w:asciiTheme="majorHAnsi" w:hAnsiTheme="majorHAnsi" w:cstheme="majorHAnsi"/>
                <w:sz w:val="20"/>
                <w:szCs w:val="20"/>
                <w:lang w:val="sr-Cyrl-RS"/>
              </w:rPr>
              <w:t>)</w:t>
            </w:r>
          </w:p>
        </w:tc>
      </w:tr>
    </w:tbl>
    <w:p w:rsidR="00A419B4" w:rsidRPr="006C7B09" w:rsidRDefault="00A419B4" w:rsidP="008775ED">
      <w:pPr>
        <w:spacing w:after="0" w:line="276" w:lineRule="auto"/>
        <w:jc w:val="both"/>
        <w:rPr>
          <w:rFonts w:asciiTheme="majorHAnsi" w:eastAsiaTheme="minorHAnsi" w:hAnsiTheme="majorHAnsi" w:cstheme="majorHAnsi"/>
          <w:sz w:val="20"/>
          <w:szCs w:val="20"/>
          <w:lang w:val="sr-Cyrl-RS"/>
        </w:rPr>
      </w:pPr>
    </w:p>
    <w:p w:rsidR="00A419B4" w:rsidRDefault="00A419B4" w:rsidP="008775ED">
      <w:pPr>
        <w:spacing w:after="0" w:line="276" w:lineRule="auto"/>
        <w:jc w:val="both"/>
        <w:rPr>
          <w:rFonts w:asciiTheme="majorHAnsi" w:eastAsiaTheme="minorHAnsi" w:hAnsiTheme="majorHAnsi" w:cstheme="majorHAnsi"/>
          <w:sz w:val="20"/>
          <w:szCs w:val="20"/>
          <w:lang w:val="sr-Cyrl-RS"/>
        </w:rPr>
      </w:pPr>
      <w:r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>Брза</w:t>
      </w:r>
      <w:r w:rsidR="006416C7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>/флеш</w:t>
      </w:r>
      <w:r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 процена бруто домаћег производа објављује</w:t>
      </w:r>
      <w:r w:rsidR="006416C7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 се</w:t>
      </w:r>
      <w:r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 30 дана </w:t>
      </w:r>
      <w:r w:rsidR="006416C7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по истеку </w:t>
      </w:r>
      <w:r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>референтног квартала</w:t>
      </w:r>
      <w:r w:rsidR="006416C7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, у форми стопе </w:t>
      </w:r>
      <w:r w:rsidR="009A3837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>реалн</w:t>
      </w:r>
      <w:r w:rsidR="006416C7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ог </w:t>
      </w:r>
      <w:r w:rsidR="009A3837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раста </w:t>
      </w:r>
      <w:r w:rsidR="006416C7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кварталног </w:t>
      </w:r>
      <w:r w:rsidR="009A3837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бруто домаћег производа </w:t>
      </w:r>
      <w:r w:rsidR="006416C7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(процентуална промена према истом кварталу </w:t>
      </w:r>
      <w:r w:rsidR="006416C7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lastRenderedPageBreak/>
        <w:t>претходне године)</w:t>
      </w:r>
      <w:r w:rsidR="009A3837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. </w:t>
      </w:r>
      <w:r w:rsidR="00A8028F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Резултати детаљних кварталних обрачуна извршених према производном и расходном приступу објављују се </w:t>
      </w:r>
      <w:r w:rsidR="009A3837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60 дана </w:t>
      </w:r>
      <w:r w:rsidR="00A8028F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по истеку </w:t>
      </w:r>
      <w:r w:rsidR="009A3837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референтног квартала. </w:t>
      </w:r>
      <w:r w:rsidR="00A8028F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Подаци се публикују на нивоу </w:t>
      </w:r>
      <w:r w:rsidR="00B401B0">
        <w:rPr>
          <w:rFonts w:asciiTheme="majorHAnsi" w:eastAsiaTheme="minorHAnsi" w:hAnsiTheme="majorHAnsi" w:cstheme="majorHAnsi"/>
          <w:sz w:val="20"/>
          <w:szCs w:val="20"/>
          <w:lang w:val="sr-Cyrl-RS"/>
        </w:rPr>
        <w:t>сектора (</w:t>
      </w:r>
      <w:bookmarkStart w:id="2" w:name="_GoBack"/>
      <w:r w:rsidR="00A8028F" w:rsidRPr="00B401B0">
        <w:rPr>
          <w:rFonts w:asciiTheme="majorHAnsi" w:eastAsiaTheme="minorHAnsi" w:hAnsiTheme="majorHAnsi" w:cstheme="majorHAnsi"/>
          <w:i/>
          <w:sz w:val="20"/>
          <w:szCs w:val="20"/>
          <w:lang w:val="sr-Cyrl-RS"/>
        </w:rPr>
        <w:t>А</w:t>
      </w:r>
      <w:r w:rsidR="00B401B0" w:rsidRPr="00B401B0">
        <w:rPr>
          <w:rFonts w:asciiTheme="majorHAnsi" w:eastAsiaTheme="minorHAnsi" w:hAnsiTheme="majorHAnsi" w:cstheme="majorHAnsi"/>
          <w:i/>
          <w:sz w:val="20"/>
          <w:szCs w:val="20"/>
          <w:lang w:val="sr-Cyrl-RS"/>
        </w:rPr>
        <w:t>*</w:t>
      </w:r>
      <w:r w:rsidR="00A8028F" w:rsidRPr="00B401B0">
        <w:rPr>
          <w:rFonts w:asciiTheme="majorHAnsi" w:eastAsiaTheme="minorHAnsi" w:hAnsiTheme="majorHAnsi" w:cstheme="majorHAnsi"/>
          <w:i/>
          <w:sz w:val="20"/>
          <w:szCs w:val="20"/>
          <w:lang w:val="sr-Cyrl-RS"/>
        </w:rPr>
        <w:t>10</w:t>
      </w:r>
      <w:bookmarkEnd w:id="2"/>
      <w:r w:rsidR="00B401B0">
        <w:rPr>
          <w:rFonts w:asciiTheme="majorHAnsi" w:eastAsiaTheme="minorHAnsi" w:hAnsiTheme="majorHAnsi" w:cstheme="majorHAnsi"/>
          <w:sz w:val="20"/>
          <w:szCs w:val="20"/>
          <w:lang w:val="sr-Cyrl-RS"/>
        </w:rPr>
        <w:t>)</w:t>
      </w:r>
      <w:r w:rsidR="00A8028F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 Класификације делатности и главних агрегата употребе БДП-а</w:t>
      </w:r>
      <w:r w:rsidR="009A3837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>.</w:t>
      </w:r>
    </w:p>
    <w:p w:rsidR="00DE4252" w:rsidRPr="006C7B09" w:rsidRDefault="00DE4252" w:rsidP="008775ED">
      <w:pPr>
        <w:spacing w:after="0" w:line="276" w:lineRule="auto"/>
        <w:jc w:val="both"/>
        <w:rPr>
          <w:rFonts w:asciiTheme="majorHAnsi" w:eastAsiaTheme="minorHAnsi" w:hAnsiTheme="majorHAnsi" w:cstheme="majorHAnsi"/>
          <w:sz w:val="20"/>
          <w:szCs w:val="20"/>
          <w:lang w:val="sr-Cyrl-RS"/>
        </w:rPr>
      </w:pPr>
    </w:p>
    <w:p w:rsidR="00547FA6" w:rsidRDefault="005A5613" w:rsidP="00265181">
      <w:pPr>
        <w:spacing w:line="276" w:lineRule="auto"/>
        <w:jc w:val="both"/>
        <w:rPr>
          <w:rFonts w:asciiTheme="majorHAnsi" w:eastAsiaTheme="minorHAnsi" w:hAnsiTheme="majorHAnsi" w:cstheme="majorHAnsi"/>
          <w:sz w:val="20"/>
          <w:szCs w:val="20"/>
          <w:lang w:val="sr-Cyrl-RS"/>
        </w:rPr>
      </w:pPr>
      <w:r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Годишњи бруто домаћи производ </w:t>
      </w:r>
      <w:r w:rsidR="009A3837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>објављ</w:t>
      </w:r>
      <w:r w:rsidR="00547FA6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ује се </w:t>
      </w:r>
      <w:r w:rsidR="00DE4252">
        <w:rPr>
          <w:rFonts w:asciiTheme="majorHAnsi" w:eastAsiaTheme="minorHAnsi" w:hAnsiTheme="majorHAnsi" w:cstheme="majorHAnsi"/>
          <w:sz w:val="20"/>
          <w:szCs w:val="20"/>
          <w:lang w:val="sr-Cyrl-RS"/>
        </w:rPr>
        <w:t>четири</w:t>
      </w:r>
      <w:r w:rsidR="00547FA6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 пута</w:t>
      </w:r>
      <w:r w:rsidR="009A3837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>:</w:t>
      </w:r>
    </w:p>
    <w:p w:rsidR="00DE4252" w:rsidRPr="00DE4252" w:rsidRDefault="00DE4252" w:rsidP="00B6119D">
      <w:pPr>
        <w:pStyle w:val="ListParagraph"/>
        <w:numPr>
          <w:ilvl w:val="0"/>
          <w:numId w:val="28"/>
        </w:numPr>
        <w:spacing w:after="0" w:line="276" w:lineRule="auto"/>
        <w:jc w:val="both"/>
        <w:rPr>
          <w:rFonts w:asciiTheme="majorHAnsi" w:hAnsiTheme="majorHAnsi" w:cstheme="majorHAnsi"/>
          <w:sz w:val="20"/>
          <w:szCs w:val="20"/>
          <w:lang w:val="sr-Cyrl-RS"/>
        </w:rPr>
      </w:pPr>
      <w:r w:rsidRPr="006C7B09">
        <w:rPr>
          <w:rFonts w:asciiTheme="majorHAnsi" w:hAnsiTheme="majorHAnsi" w:cstheme="majorHAnsi"/>
          <w:sz w:val="20"/>
          <w:szCs w:val="20"/>
          <w:lang w:val="sr-Cyrl-RS"/>
        </w:rPr>
        <w:t xml:space="preserve">процена, </w:t>
      </w:r>
      <w:r w:rsidR="00B6119D" w:rsidRPr="00B6119D">
        <w:rPr>
          <w:rFonts w:asciiTheme="majorHAnsi" w:hAnsiTheme="majorHAnsi" w:cstheme="majorHAnsi"/>
          <w:sz w:val="20"/>
          <w:szCs w:val="20"/>
          <w:lang w:val="sr-Cyrl-RS"/>
        </w:rPr>
        <w:t xml:space="preserve">у виду стопе раста БДП-а, посљедњег радног дана референтне године у виду </w:t>
      </w:r>
      <w:r w:rsidR="00B6119D">
        <w:rPr>
          <w:rFonts w:asciiTheme="majorHAnsi" w:hAnsiTheme="majorHAnsi" w:cstheme="majorHAnsi"/>
          <w:sz w:val="20"/>
          <w:szCs w:val="20"/>
          <w:lang w:val="sr-Cyrl-RS"/>
        </w:rPr>
        <w:t>статистичког саопштења Економска</w:t>
      </w:r>
      <w:r w:rsidR="00B6119D" w:rsidRPr="00B6119D">
        <w:rPr>
          <w:rFonts w:asciiTheme="majorHAnsi" w:hAnsiTheme="majorHAnsi" w:cstheme="majorHAnsi"/>
          <w:sz w:val="20"/>
          <w:szCs w:val="20"/>
          <w:lang w:val="sr-Cyrl-RS"/>
        </w:rPr>
        <w:t xml:space="preserve"> кретања;</w:t>
      </w:r>
      <w:r w:rsidRPr="006C7B09">
        <w:rPr>
          <w:rFonts w:asciiTheme="majorHAnsi" w:hAnsiTheme="majorHAnsi" w:cstheme="majorHAnsi"/>
          <w:sz w:val="20"/>
          <w:szCs w:val="20"/>
          <w:lang w:val="sr-Cyrl-RS"/>
        </w:rPr>
        <w:t xml:space="preserve"> </w:t>
      </w:r>
    </w:p>
    <w:p w:rsidR="00547FA6" w:rsidRPr="006C7B09" w:rsidRDefault="009A3837" w:rsidP="00547FA6">
      <w:pPr>
        <w:pStyle w:val="ListParagraph"/>
        <w:numPr>
          <w:ilvl w:val="0"/>
          <w:numId w:val="28"/>
        </w:numPr>
        <w:spacing w:after="0" w:line="276" w:lineRule="auto"/>
        <w:jc w:val="both"/>
        <w:rPr>
          <w:rFonts w:asciiTheme="majorHAnsi" w:hAnsiTheme="majorHAnsi" w:cstheme="majorHAnsi"/>
          <w:sz w:val="20"/>
          <w:szCs w:val="20"/>
          <w:lang w:val="sr-Cyrl-RS"/>
        </w:rPr>
      </w:pPr>
      <w:r w:rsidRPr="006C7B09">
        <w:rPr>
          <w:rFonts w:asciiTheme="majorHAnsi" w:hAnsiTheme="majorHAnsi" w:cstheme="majorHAnsi"/>
          <w:sz w:val="20"/>
          <w:szCs w:val="20"/>
          <w:lang w:val="sr-Cyrl-RS"/>
        </w:rPr>
        <w:t>процена</w:t>
      </w:r>
      <w:r w:rsidR="00547FA6" w:rsidRPr="006C7B09">
        <w:rPr>
          <w:rFonts w:asciiTheme="majorHAnsi" w:hAnsiTheme="majorHAnsi" w:cstheme="majorHAnsi"/>
          <w:sz w:val="20"/>
          <w:szCs w:val="20"/>
          <w:lang w:val="sr-Cyrl-RS"/>
        </w:rPr>
        <w:t>, добијена</w:t>
      </w:r>
      <w:r w:rsidRPr="006C7B09">
        <w:rPr>
          <w:rFonts w:asciiTheme="majorHAnsi" w:hAnsiTheme="majorHAnsi" w:cstheme="majorHAnsi"/>
          <w:sz w:val="20"/>
          <w:szCs w:val="20"/>
          <w:lang w:val="sr-Cyrl-RS"/>
        </w:rPr>
        <w:t xml:space="preserve"> као сума четири кварталне вредности БДП-а</w:t>
      </w:r>
      <w:r w:rsidR="00547FA6" w:rsidRPr="006C7B09">
        <w:rPr>
          <w:rFonts w:asciiTheme="majorHAnsi" w:hAnsiTheme="majorHAnsi" w:cstheme="majorHAnsi"/>
          <w:sz w:val="20"/>
          <w:szCs w:val="20"/>
          <w:lang w:val="sr-Cyrl-RS"/>
        </w:rPr>
        <w:t xml:space="preserve"> </w:t>
      </w:r>
      <w:r w:rsidR="00B419F6">
        <w:rPr>
          <w:rFonts w:ascii="Arial" w:hAnsi="Arial" w:cs="Arial"/>
          <w:sz w:val="20"/>
          <w:szCs w:val="20"/>
          <w:lang w:val="sr-Cyrl-RS"/>
        </w:rPr>
        <w:t>‒</w:t>
      </w:r>
      <w:r w:rsidR="00547FA6" w:rsidRPr="006C7B09">
        <w:rPr>
          <w:rFonts w:asciiTheme="majorHAnsi" w:hAnsiTheme="majorHAnsi" w:cstheme="majorHAnsi"/>
          <w:sz w:val="20"/>
          <w:szCs w:val="20"/>
          <w:lang w:val="sr-Cyrl-RS"/>
        </w:rPr>
        <w:t xml:space="preserve"> крајем фебруара</w:t>
      </w:r>
      <w:r w:rsidR="00F35585" w:rsidRPr="006C7B09">
        <w:rPr>
          <w:rFonts w:asciiTheme="majorHAnsi" w:hAnsiTheme="majorHAnsi" w:cstheme="majorHAnsi"/>
          <w:sz w:val="20"/>
          <w:szCs w:val="20"/>
          <w:lang w:val="sr-Cyrl-RS"/>
        </w:rPr>
        <w:t>,</w:t>
      </w:r>
      <w:r w:rsidR="00547FA6" w:rsidRPr="006C7B09">
        <w:rPr>
          <w:rFonts w:asciiTheme="majorHAnsi" w:hAnsiTheme="majorHAnsi" w:cstheme="majorHAnsi"/>
          <w:sz w:val="20"/>
          <w:szCs w:val="20"/>
          <w:lang w:val="sr-Cyrl-RS"/>
        </w:rPr>
        <w:t xml:space="preserve"> за претходну годину</w:t>
      </w:r>
      <w:r w:rsidRPr="006C7B09">
        <w:rPr>
          <w:rFonts w:asciiTheme="majorHAnsi" w:hAnsiTheme="majorHAnsi" w:cstheme="majorHAnsi"/>
          <w:sz w:val="20"/>
          <w:szCs w:val="20"/>
          <w:lang w:val="sr-Cyrl-RS"/>
        </w:rPr>
        <w:t>;</w:t>
      </w:r>
    </w:p>
    <w:p w:rsidR="00547FA6" w:rsidRPr="006C7B09" w:rsidRDefault="00547FA6" w:rsidP="00547FA6">
      <w:pPr>
        <w:pStyle w:val="ListParagraph"/>
        <w:numPr>
          <w:ilvl w:val="0"/>
          <w:numId w:val="28"/>
        </w:numPr>
        <w:spacing w:after="0" w:line="276" w:lineRule="auto"/>
        <w:jc w:val="both"/>
        <w:rPr>
          <w:rFonts w:asciiTheme="majorHAnsi" w:hAnsiTheme="majorHAnsi" w:cstheme="majorHAnsi"/>
          <w:sz w:val="20"/>
          <w:szCs w:val="20"/>
          <w:lang w:val="sr-Cyrl-RS"/>
        </w:rPr>
      </w:pPr>
      <w:r w:rsidRPr="006C7B09">
        <w:rPr>
          <w:rFonts w:asciiTheme="majorHAnsi" w:hAnsiTheme="majorHAnsi" w:cstheme="majorHAnsi"/>
          <w:sz w:val="20"/>
          <w:szCs w:val="20"/>
          <w:lang w:val="sr-Cyrl-RS"/>
        </w:rPr>
        <w:t>пре</w:t>
      </w:r>
      <w:r w:rsidR="001A3B88" w:rsidRPr="006C7B09">
        <w:rPr>
          <w:rFonts w:asciiTheme="majorHAnsi" w:hAnsiTheme="majorHAnsi" w:cstheme="majorHAnsi"/>
          <w:sz w:val="20"/>
          <w:szCs w:val="20"/>
          <w:lang w:val="sr-Cyrl-RS"/>
        </w:rPr>
        <w:t>тходни</w:t>
      </w:r>
      <w:r w:rsidRPr="006C7B09">
        <w:rPr>
          <w:rFonts w:asciiTheme="majorHAnsi" w:hAnsiTheme="majorHAnsi" w:cstheme="majorHAnsi"/>
          <w:sz w:val="20"/>
          <w:szCs w:val="20"/>
          <w:lang w:val="sr-Cyrl-RS"/>
        </w:rPr>
        <w:t xml:space="preserve"> подаци, као резултат годишњег обрачуна БДП-а </w:t>
      </w:r>
      <w:r w:rsidR="00B419F6">
        <w:rPr>
          <w:rFonts w:ascii="Arial" w:hAnsi="Arial" w:cs="Arial"/>
          <w:sz w:val="20"/>
          <w:szCs w:val="20"/>
          <w:lang w:val="sr-Cyrl-RS"/>
        </w:rPr>
        <w:t>‒</w:t>
      </w:r>
      <w:r w:rsidRPr="006C7B09">
        <w:rPr>
          <w:rFonts w:asciiTheme="majorHAnsi" w:hAnsiTheme="majorHAnsi" w:cstheme="majorHAnsi"/>
          <w:sz w:val="20"/>
          <w:szCs w:val="20"/>
          <w:lang w:val="sr-Cyrl-RS"/>
        </w:rPr>
        <w:t xml:space="preserve"> крајем септембра</w:t>
      </w:r>
      <w:r w:rsidR="00F35585" w:rsidRPr="006C7B09">
        <w:rPr>
          <w:rFonts w:asciiTheme="majorHAnsi" w:hAnsiTheme="majorHAnsi" w:cstheme="majorHAnsi"/>
          <w:sz w:val="20"/>
          <w:szCs w:val="20"/>
          <w:lang w:val="sr-Cyrl-RS"/>
        </w:rPr>
        <w:t>,</w:t>
      </w:r>
      <w:r w:rsidRPr="006C7B09">
        <w:rPr>
          <w:rFonts w:asciiTheme="majorHAnsi" w:hAnsiTheme="majorHAnsi" w:cstheme="majorHAnsi"/>
          <w:sz w:val="20"/>
          <w:szCs w:val="20"/>
          <w:lang w:val="sr-Cyrl-RS"/>
        </w:rPr>
        <w:t xml:space="preserve"> за претходну годину</w:t>
      </w:r>
      <w:r w:rsidR="00B419F6">
        <w:rPr>
          <w:rFonts w:asciiTheme="majorHAnsi" w:hAnsiTheme="majorHAnsi" w:cstheme="majorHAnsi"/>
          <w:sz w:val="20"/>
          <w:szCs w:val="20"/>
          <w:lang w:val="sr-Cyrl-RS"/>
        </w:rPr>
        <w:t>,</w:t>
      </w:r>
      <w:r w:rsidR="00514D67" w:rsidRPr="006C7B09">
        <w:rPr>
          <w:rFonts w:asciiTheme="majorHAnsi" w:hAnsiTheme="majorHAnsi" w:cstheme="majorHAnsi"/>
          <w:sz w:val="20"/>
          <w:szCs w:val="20"/>
          <w:lang w:val="sr-Cyrl-RS"/>
        </w:rPr>
        <w:t xml:space="preserve"> и</w:t>
      </w:r>
    </w:p>
    <w:p w:rsidR="00514D67" w:rsidRPr="006C7B09" w:rsidRDefault="004A6443" w:rsidP="004A6443">
      <w:pPr>
        <w:pStyle w:val="ListParagraph"/>
        <w:numPr>
          <w:ilvl w:val="0"/>
          <w:numId w:val="28"/>
        </w:numPr>
        <w:spacing w:after="0" w:line="276" w:lineRule="auto"/>
        <w:jc w:val="both"/>
        <w:rPr>
          <w:rFonts w:asciiTheme="majorHAnsi" w:hAnsiTheme="majorHAnsi" w:cstheme="majorHAnsi"/>
          <w:sz w:val="20"/>
          <w:szCs w:val="20"/>
          <w:lang w:val="sr-Cyrl-RS"/>
        </w:rPr>
      </w:pPr>
      <w:r w:rsidRPr="006C7B09">
        <w:rPr>
          <w:rFonts w:asciiTheme="majorHAnsi" w:hAnsiTheme="majorHAnsi" w:cstheme="majorHAnsi"/>
          <w:sz w:val="20"/>
          <w:szCs w:val="20"/>
          <w:lang w:val="sr-Cyrl-RS"/>
        </w:rPr>
        <w:t>коначни</w:t>
      </w:r>
      <w:r w:rsidR="00547FA6" w:rsidRPr="006C7B09">
        <w:rPr>
          <w:rFonts w:asciiTheme="majorHAnsi" w:hAnsiTheme="majorHAnsi" w:cstheme="majorHAnsi"/>
          <w:sz w:val="20"/>
          <w:szCs w:val="20"/>
          <w:lang w:val="sr-Cyrl-RS"/>
        </w:rPr>
        <w:t xml:space="preserve"> подаци, на основу резултата табела понуде и употребе и инпут-аутпут табела, </w:t>
      </w:r>
      <w:r w:rsidR="009A3837" w:rsidRPr="006C7B09">
        <w:rPr>
          <w:rFonts w:asciiTheme="majorHAnsi" w:hAnsiTheme="majorHAnsi" w:cstheme="majorHAnsi"/>
          <w:sz w:val="20"/>
          <w:szCs w:val="20"/>
          <w:lang w:val="sr-Cyrl-RS"/>
        </w:rPr>
        <w:t xml:space="preserve">годину дана </w:t>
      </w:r>
      <w:r w:rsidR="00547FA6" w:rsidRPr="006C7B09">
        <w:rPr>
          <w:rFonts w:asciiTheme="majorHAnsi" w:hAnsiTheme="majorHAnsi" w:cstheme="majorHAnsi"/>
          <w:sz w:val="20"/>
          <w:szCs w:val="20"/>
          <w:lang w:val="sr-Cyrl-RS"/>
        </w:rPr>
        <w:t>након пре</w:t>
      </w:r>
      <w:r w:rsidR="003B57C7" w:rsidRPr="006C7B09">
        <w:rPr>
          <w:rFonts w:asciiTheme="majorHAnsi" w:hAnsiTheme="majorHAnsi" w:cstheme="majorHAnsi"/>
          <w:sz w:val="20"/>
          <w:szCs w:val="20"/>
          <w:lang w:val="sr-Cyrl-RS"/>
        </w:rPr>
        <w:t xml:space="preserve">тходних </w:t>
      </w:r>
      <w:r w:rsidR="00547FA6" w:rsidRPr="006C7B09">
        <w:rPr>
          <w:rFonts w:asciiTheme="majorHAnsi" w:hAnsiTheme="majorHAnsi" w:cstheme="majorHAnsi"/>
          <w:sz w:val="20"/>
          <w:szCs w:val="20"/>
          <w:lang w:val="sr-Cyrl-RS"/>
        </w:rPr>
        <w:t>података</w:t>
      </w:r>
      <w:r w:rsidR="00514D67" w:rsidRPr="006C7B09">
        <w:rPr>
          <w:rFonts w:asciiTheme="majorHAnsi" w:hAnsiTheme="majorHAnsi" w:cstheme="majorHAnsi"/>
          <w:sz w:val="20"/>
          <w:szCs w:val="20"/>
          <w:lang w:val="sr-Cyrl-RS"/>
        </w:rPr>
        <w:t>.</w:t>
      </w:r>
    </w:p>
    <w:p w:rsidR="00641A8E" w:rsidRPr="006C7B09" w:rsidRDefault="00547FA6" w:rsidP="00514D67">
      <w:pPr>
        <w:pStyle w:val="ListParagraph"/>
        <w:spacing w:after="0" w:line="276" w:lineRule="auto"/>
        <w:jc w:val="both"/>
        <w:rPr>
          <w:rFonts w:asciiTheme="majorHAnsi" w:hAnsiTheme="majorHAnsi" w:cstheme="majorHAnsi"/>
          <w:sz w:val="20"/>
          <w:szCs w:val="20"/>
          <w:lang w:val="sr-Cyrl-RS"/>
        </w:rPr>
      </w:pPr>
      <w:r w:rsidRPr="006C7B09">
        <w:rPr>
          <w:rFonts w:asciiTheme="majorHAnsi" w:hAnsiTheme="majorHAnsi" w:cstheme="majorHAnsi"/>
          <w:sz w:val="20"/>
          <w:szCs w:val="20"/>
          <w:lang w:val="sr-Cyrl-RS"/>
        </w:rPr>
        <w:t xml:space="preserve"> </w:t>
      </w:r>
    </w:p>
    <w:p w:rsidR="00721264" w:rsidRPr="0007619F" w:rsidRDefault="0097526E" w:rsidP="005C4ABB">
      <w:pPr>
        <w:spacing w:after="0" w:line="276" w:lineRule="auto"/>
        <w:jc w:val="both"/>
        <w:rPr>
          <w:rFonts w:asciiTheme="majorHAnsi" w:eastAsiaTheme="minorHAnsi" w:hAnsiTheme="majorHAnsi" w:cstheme="majorHAnsi"/>
          <w:sz w:val="20"/>
          <w:szCs w:val="20"/>
          <w:lang w:val="sr-Cyrl-RS"/>
        </w:rPr>
      </w:pPr>
      <w:r w:rsidRPr="0007619F">
        <w:rPr>
          <w:rFonts w:asciiTheme="majorHAnsi" w:eastAsiaTheme="minorHAnsi" w:hAnsiTheme="majorHAnsi" w:cstheme="majorHAnsi"/>
          <w:sz w:val="20"/>
          <w:szCs w:val="20"/>
          <w:lang w:val="sr-Cyrl-RS"/>
        </w:rPr>
        <w:t>Потпуни сет г</w:t>
      </w:r>
      <w:r w:rsidR="00E731D4" w:rsidRPr="0007619F">
        <w:rPr>
          <w:rFonts w:asciiTheme="majorHAnsi" w:eastAsiaTheme="minorHAnsi" w:hAnsiTheme="majorHAnsi" w:cstheme="majorHAnsi"/>
          <w:sz w:val="20"/>
          <w:szCs w:val="20"/>
          <w:lang w:val="sr-Cyrl-RS"/>
        </w:rPr>
        <w:t>одишњи</w:t>
      </w:r>
      <w:r w:rsidRPr="0007619F">
        <w:rPr>
          <w:rFonts w:asciiTheme="majorHAnsi" w:eastAsiaTheme="minorHAnsi" w:hAnsiTheme="majorHAnsi" w:cstheme="majorHAnsi"/>
          <w:sz w:val="20"/>
          <w:szCs w:val="20"/>
          <w:lang w:val="sr-Cyrl-RS"/>
        </w:rPr>
        <w:t>х</w:t>
      </w:r>
      <w:r w:rsidR="00E731D4" w:rsidRPr="0007619F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 н</w:t>
      </w:r>
      <w:r w:rsidR="00721264" w:rsidRPr="0007619F">
        <w:rPr>
          <w:rFonts w:asciiTheme="majorHAnsi" w:eastAsiaTheme="minorHAnsi" w:hAnsiTheme="majorHAnsi" w:cstheme="majorHAnsi"/>
          <w:sz w:val="20"/>
          <w:szCs w:val="20"/>
          <w:lang w:val="sr-Cyrl-RS"/>
        </w:rPr>
        <w:t>ефинансијски</w:t>
      </w:r>
      <w:r w:rsidRPr="0007619F">
        <w:rPr>
          <w:rFonts w:asciiTheme="majorHAnsi" w:eastAsiaTheme="minorHAnsi" w:hAnsiTheme="majorHAnsi" w:cstheme="majorHAnsi"/>
          <w:sz w:val="20"/>
          <w:szCs w:val="20"/>
          <w:lang w:val="sr-Cyrl-RS"/>
        </w:rPr>
        <w:t>х</w:t>
      </w:r>
      <w:r w:rsidR="00721264" w:rsidRPr="0007619F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 секторски</w:t>
      </w:r>
      <w:r w:rsidRPr="0007619F">
        <w:rPr>
          <w:rFonts w:asciiTheme="majorHAnsi" w:eastAsiaTheme="minorHAnsi" w:hAnsiTheme="majorHAnsi" w:cstheme="majorHAnsi"/>
          <w:sz w:val="20"/>
          <w:szCs w:val="20"/>
          <w:lang w:val="sr-Cyrl-RS"/>
        </w:rPr>
        <w:t>х рачуна (за укупну економију, као и по институционалним секторима) објављује</w:t>
      </w:r>
      <w:r w:rsidR="00721264" w:rsidRPr="0007619F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 се једном годишње</w:t>
      </w:r>
      <w:r w:rsidR="00E731D4" w:rsidRPr="0007619F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, </w:t>
      </w:r>
      <w:r w:rsidRPr="0007619F">
        <w:rPr>
          <w:rFonts w:asciiTheme="majorHAnsi" w:eastAsiaTheme="minorHAnsi" w:hAnsiTheme="majorHAnsi" w:cstheme="majorHAnsi"/>
          <w:sz w:val="20"/>
          <w:szCs w:val="20"/>
          <w:lang w:val="sr-Cyrl-RS"/>
        </w:rPr>
        <w:t>11 месеци по истеку референтне године</w:t>
      </w:r>
      <w:r w:rsidR="00E731D4" w:rsidRPr="0007619F">
        <w:rPr>
          <w:rFonts w:asciiTheme="majorHAnsi" w:eastAsiaTheme="minorHAnsi" w:hAnsiTheme="majorHAnsi" w:cstheme="majorHAnsi"/>
          <w:sz w:val="20"/>
          <w:szCs w:val="20"/>
          <w:lang w:val="sr-Cyrl-RS"/>
        </w:rPr>
        <w:t>.</w:t>
      </w:r>
    </w:p>
    <w:p w:rsidR="00721264" w:rsidRPr="0007619F" w:rsidRDefault="00721264" w:rsidP="005C4ABB">
      <w:pPr>
        <w:spacing w:after="0" w:line="276" w:lineRule="auto"/>
        <w:jc w:val="both"/>
        <w:rPr>
          <w:rFonts w:asciiTheme="majorHAnsi" w:eastAsiaTheme="minorHAnsi" w:hAnsiTheme="majorHAnsi" w:cstheme="majorHAnsi"/>
          <w:sz w:val="20"/>
          <w:szCs w:val="20"/>
          <w:lang w:val="sr-Cyrl-RS"/>
        </w:rPr>
      </w:pPr>
    </w:p>
    <w:p w:rsidR="00641A8E" w:rsidRPr="006C7B09" w:rsidRDefault="00641A8E" w:rsidP="005C4ABB">
      <w:pPr>
        <w:spacing w:after="0" w:line="276" w:lineRule="auto"/>
        <w:jc w:val="both"/>
        <w:rPr>
          <w:rFonts w:asciiTheme="majorHAnsi" w:eastAsiaTheme="minorHAnsi" w:hAnsiTheme="majorHAnsi" w:cstheme="majorHAnsi"/>
          <w:sz w:val="20"/>
          <w:szCs w:val="20"/>
          <w:lang w:val="sr-Cyrl-RS"/>
        </w:rPr>
      </w:pPr>
      <w:r w:rsidRPr="0007619F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Регионални рачуни </w:t>
      </w:r>
      <w:r w:rsidR="000D0051" w:rsidRPr="0007619F">
        <w:rPr>
          <w:rFonts w:asciiTheme="majorHAnsi" w:eastAsiaTheme="minorHAnsi" w:hAnsiTheme="majorHAnsi" w:cstheme="majorHAnsi"/>
          <w:sz w:val="20"/>
          <w:szCs w:val="20"/>
          <w:lang w:val="sr-Cyrl-RS"/>
        </w:rPr>
        <w:t>објављују</w:t>
      </w:r>
      <w:r w:rsidRPr="0007619F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 </w:t>
      </w:r>
      <w:r w:rsidR="00FE7974" w:rsidRPr="0007619F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се </w:t>
      </w:r>
      <w:r w:rsidRPr="0007619F">
        <w:rPr>
          <w:rFonts w:asciiTheme="majorHAnsi" w:eastAsiaTheme="minorHAnsi" w:hAnsiTheme="majorHAnsi" w:cstheme="majorHAnsi"/>
          <w:sz w:val="20"/>
          <w:szCs w:val="20"/>
          <w:lang w:val="sr-Cyrl-RS"/>
        </w:rPr>
        <w:t>два пута годишње.</w:t>
      </w:r>
      <w:r w:rsidR="00FE7974" w:rsidRPr="0007619F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 </w:t>
      </w:r>
      <w:r w:rsidRPr="0007619F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Публикација која се објављује у новембру је у </w:t>
      </w:r>
      <w:r w:rsidR="00FE7974" w:rsidRPr="0007619F">
        <w:rPr>
          <w:rFonts w:asciiTheme="majorHAnsi" w:eastAsiaTheme="minorHAnsi" w:hAnsiTheme="majorHAnsi" w:cstheme="majorHAnsi"/>
          <w:sz w:val="20"/>
          <w:szCs w:val="20"/>
          <w:lang w:val="sr-Cyrl-RS"/>
        </w:rPr>
        <w:t>форми</w:t>
      </w:r>
      <w:r w:rsidRPr="0007619F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 саопштења </w:t>
      </w:r>
      <w:r w:rsidR="00B419F6">
        <w:rPr>
          <w:rFonts w:ascii="Arial" w:eastAsiaTheme="minorHAnsi" w:hAnsi="Arial" w:cs="Arial"/>
          <w:sz w:val="20"/>
          <w:szCs w:val="20"/>
          <w:lang w:val="sr-Cyrl-RS"/>
        </w:rPr>
        <w:t>‒</w:t>
      </w:r>
      <w:r w:rsidRPr="0007619F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 БДП по регионима, док се у марту</w:t>
      </w:r>
      <w:r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 објављује радн</w:t>
      </w:r>
      <w:r w:rsidR="00FE7974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>и</w:t>
      </w:r>
      <w:r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 документ са детаљн</w:t>
      </w:r>
      <w:r w:rsidR="00FE7974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>о</w:t>
      </w:r>
      <w:r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м </w:t>
      </w:r>
      <w:r w:rsidR="00FE7974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>поделом на</w:t>
      </w:r>
      <w:r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 категориј</w:t>
      </w:r>
      <w:r w:rsidR="00FE7974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>е</w:t>
      </w:r>
      <w:r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>.</w:t>
      </w:r>
    </w:p>
    <w:p w:rsidR="00FE7974" w:rsidRPr="006C7B09" w:rsidRDefault="00FE7974" w:rsidP="005C4ABB">
      <w:pPr>
        <w:spacing w:after="0" w:line="276" w:lineRule="auto"/>
        <w:jc w:val="both"/>
        <w:rPr>
          <w:rFonts w:asciiTheme="majorHAnsi" w:eastAsiaTheme="minorHAnsi" w:hAnsiTheme="majorHAnsi" w:cstheme="majorHAnsi"/>
          <w:sz w:val="20"/>
          <w:szCs w:val="20"/>
          <w:lang w:val="sr-Latn-RS"/>
        </w:rPr>
      </w:pPr>
    </w:p>
    <w:p w:rsidR="00641A8E" w:rsidRPr="006C7B09" w:rsidRDefault="00641A8E" w:rsidP="005C4ABB">
      <w:pPr>
        <w:spacing w:after="0" w:line="276" w:lineRule="auto"/>
        <w:jc w:val="both"/>
        <w:rPr>
          <w:rFonts w:asciiTheme="majorHAnsi" w:eastAsiaTheme="minorHAnsi" w:hAnsiTheme="majorHAnsi" w:cstheme="majorHAnsi"/>
          <w:sz w:val="20"/>
          <w:szCs w:val="20"/>
          <w:lang w:val="sr-Cyrl-RS"/>
        </w:rPr>
      </w:pPr>
      <w:r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Табеле понуде и употребе </w:t>
      </w:r>
      <w:r w:rsidR="00BA43B1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>објављују се једном годишње</w:t>
      </w:r>
      <w:r w:rsidR="00B9514D">
        <w:rPr>
          <w:rFonts w:asciiTheme="majorHAnsi" w:eastAsiaTheme="minorHAnsi" w:hAnsiTheme="majorHAnsi" w:cstheme="majorHAnsi"/>
          <w:sz w:val="20"/>
          <w:szCs w:val="20"/>
          <w:lang w:val="sr-Latn-RS"/>
        </w:rPr>
        <w:t>,</w:t>
      </w:r>
      <w:r w:rsidR="00BA43B1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 </w:t>
      </w:r>
      <w:r w:rsidR="00BA43B1">
        <w:rPr>
          <w:rFonts w:asciiTheme="majorHAnsi" w:eastAsiaTheme="minorHAnsi" w:hAnsiTheme="majorHAnsi" w:cstheme="majorHAnsi"/>
          <w:sz w:val="20"/>
          <w:szCs w:val="20"/>
          <w:lang w:val="sr-Cyrl-RS"/>
        </w:rPr>
        <w:t>а</w:t>
      </w:r>
      <w:r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 инпут-аутпут табеле</w:t>
      </w:r>
      <w:r w:rsidR="00BA43B1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 сваке пете године</w:t>
      </w:r>
      <w:r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, 21 месец </w:t>
      </w:r>
      <w:r w:rsidR="005556C0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по истеку </w:t>
      </w:r>
      <w:r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>референтне године.</w:t>
      </w:r>
    </w:p>
    <w:p w:rsidR="00B47190" w:rsidRPr="006C7B09" w:rsidRDefault="00B47190" w:rsidP="005C4ABB">
      <w:pPr>
        <w:spacing w:after="0" w:line="276" w:lineRule="auto"/>
        <w:jc w:val="both"/>
        <w:rPr>
          <w:rFonts w:asciiTheme="majorHAnsi" w:eastAsiaTheme="minorHAnsi" w:hAnsiTheme="majorHAnsi" w:cstheme="majorHAnsi"/>
          <w:sz w:val="20"/>
          <w:szCs w:val="20"/>
        </w:rPr>
      </w:pPr>
    </w:p>
    <w:p w:rsidR="00666F59" w:rsidRPr="006C7B09" w:rsidRDefault="00666F59" w:rsidP="005C4ABB">
      <w:pPr>
        <w:spacing w:after="0" w:line="276" w:lineRule="auto"/>
        <w:jc w:val="both"/>
        <w:rPr>
          <w:rFonts w:asciiTheme="majorHAnsi" w:eastAsiaTheme="minorHAnsi" w:hAnsiTheme="majorHAnsi" w:cstheme="majorHAnsi"/>
          <w:sz w:val="20"/>
          <w:szCs w:val="20"/>
          <w:lang w:val="sr-Cyrl-RS"/>
        </w:rPr>
      </w:pPr>
      <w:r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Порески приходи и социјални доприноси објављују се једном годишње, 9 месеци </w:t>
      </w:r>
      <w:r w:rsidR="00B47190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>по истеку</w:t>
      </w:r>
      <w:r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 референтне године.</w:t>
      </w:r>
    </w:p>
    <w:p w:rsidR="008775ED" w:rsidRPr="006C7B09" w:rsidRDefault="008775ED" w:rsidP="008775ED">
      <w:pPr>
        <w:spacing w:after="0" w:line="276" w:lineRule="auto"/>
        <w:jc w:val="both"/>
        <w:rPr>
          <w:rFonts w:asciiTheme="majorHAnsi" w:eastAsiaTheme="minorHAnsi" w:hAnsiTheme="majorHAnsi" w:cstheme="majorHAnsi"/>
          <w:sz w:val="20"/>
          <w:szCs w:val="20"/>
        </w:rPr>
      </w:pPr>
    </w:p>
    <w:p w:rsidR="00341C68" w:rsidRPr="006C7B09" w:rsidRDefault="00341C68">
      <w:pPr>
        <w:rPr>
          <w:rFonts w:asciiTheme="majorHAnsi" w:eastAsiaTheme="minorHAnsi" w:hAnsiTheme="majorHAnsi" w:cstheme="majorHAnsi"/>
          <w:b/>
          <w:bCs/>
          <w:smallCaps/>
          <w:color w:val="000000" w:themeColor="text1"/>
          <w:sz w:val="36"/>
          <w:szCs w:val="36"/>
          <w:lang w:val="sr-Cyrl-RS"/>
        </w:rPr>
      </w:pPr>
      <w:r w:rsidRPr="006C7B09">
        <w:rPr>
          <w:rFonts w:asciiTheme="majorHAnsi" w:eastAsiaTheme="minorHAnsi" w:hAnsiTheme="majorHAnsi" w:cstheme="majorHAnsi"/>
          <w:lang w:val="sr-Cyrl-RS"/>
        </w:rPr>
        <w:br w:type="page"/>
      </w:r>
    </w:p>
    <w:p w:rsidR="008775ED" w:rsidRPr="006C7B09" w:rsidRDefault="00666F59" w:rsidP="008775ED">
      <w:pPr>
        <w:pStyle w:val="Heading1"/>
        <w:rPr>
          <w:rFonts w:eastAsiaTheme="minorHAnsi" w:cstheme="majorHAnsi"/>
        </w:rPr>
      </w:pPr>
      <w:bookmarkStart w:id="3" w:name="_Toc52283275"/>
      <w:r w:rsidRPr="006C7B09">
        <w:rPr>
          <w:rFonts w:eastAsiaTheme="minorHAnsi" w:cstheme="majorHAnsi"/>
          <w:lang w:val="sr-Cyrl-RS"/>
        </w:rPr>
        <w:lastRenderedPageBreak/>
        <w:t>Текуће ревизије</w:t>
      </w:r>
      <w:bookmarkEnd w:id="3"/>
    </w:p>
    <w:p w:rsidR="00280402" w:rsidRDefault="00280402" w:rsidP="005C4ABB">
      <w:pPr>
        <w:spacing w:after="0" w:line="276" w:lineRule="auto"/>
        <w:jc w:val="both"/>
        <w:rPr>
          <w:rFonts w:asciiTheme="majorHAnsi" w:eastAsiaTheme="minorHAnsi" w:hAnsiTheme="majorHAnsi" w:cstheme="majorHAnsi"/>
          <w:bCs/>
          <w:sz w:val="20"/>
          <w:szCs w:val="20"/>
          <w:lang w:val="sr-Cyrl-RS"/>
        </w:rPr>
      </w:pPr>
    </w:p>
    <w:p w:rsidR="00666F59" w:rsidRDefault="00666F59" w:rsidP="005C4ABB">
      <w:pPr>
        <w:spacing w:after="0" w:line="276" w:lineRule="auto"/>
        <w:jc w:val="both"/>
        <w:rPr>
          <w:rFonts w:asciiTheme="majorHAnsi" w:eastAsiaTheme="minorHAnsi" w:hAnsiTheme="majorHAnsi" w:cstheme="majorHAnsi"/>
          <w:bCs/>
          <w:sz w:val="20"/>
          <w:szCs w:val="20"/>
          <w:lang w:val="sr-Cyrl-RS"/>
        </w:rPr>
      </w:pPr>
      <w:r w:rsidRPr="006C7B09">
        <w:rPr>
          <w:rFonts w:asciiTheme="majorHAnsi" w:eastAsiaTheme="minorHAnsi" w:hAnsiTheme="majorHAnsi" w:cstheme="majorHAnsi"/>
          <w:bCs/>
          <w:sz w:val="20"/>
          <w:szCs w:val="20"/>
          <w:lang w:val="sr-Cyrl-RS"/>
        </w:rPr>
        <w:t>Текуће ревизије</w:t>
      </w:r>
      <w:r w:rsidR="001A3B88" w:rsidRPr="006C7B09">
        <w:rPr>
          <w:rFonts w:asciiTheme="majorHAnsi" w:eastAsiaTheme="minorHAnsi" w:hAnsiTheme="majorHAnsi" w:cstheme="majorHAnsi"/>
          <w:bCs/>
          <w:sz w:val="20"/>
          <w:szCs w:val="20"/>
          <w:lang w:val="sr-Cyrl-RS"/>
        </w:rPr>
        <w:t xml:space="preserve"> су,</w:t>
      </w:r>
      <w:r w:rsidRPr="006C7B09">
        <w:rPr>
          <w:rFonts w:asciiTheme="majorHAnsi" w:eastAsiaTheme="minorHAnsi" w:hAnsiTheme="majorHAnsi" w:cstheme="majorHAnsi"/>
          <w:bCs/>
          <w:sz w:val="20"/>
          <w:szCs w:val="20"/>
          <w:lang w:val="sr-Cyrl-RS"/>
        </w:rPr>
        <w:t xml:space="preserve"> </w:t>
      </w:r>
      <w:r w:rsidR="001A3B88" w:rsidRPr="006C7B09">
        <w:rPr>
          <w:rFonts w:asciiTheme="majorHAnsi" w:eastAsiaTheme="minorHAnsi" w:hAnsiTheme="majorHAnsi" w:cstheme="majorHAnsi"/>
          <w:bCs/>
          <w:sz w:val="20"/>
          <w:szCs w:val="20"/>
          <w:lang w:val="sr-Cyrl-RS"/>
        </w:rPr>
        <w:t xml:space="preserve">због </w:t>
      </w:r>
      <w:r w:rsidRPr="006C7B09">
        <w:rPr>
          <w:rFonts w:asciiTheme="majorHAnsi" w:eastAsiaTheme="minorHAnsi" w:hAnsiTheme="majorHAnsi" w:cstheme="majorHAnsi"/>
          <w:bCs/>
          <w:sz w:val="20"/>
          <w:szCs w:val="20"/>
          <w:lang w:val="sr-Cyrl-RS"/>
        </w:rPr>
        <w:t>свој</w:t>
      </w:r>
      <w:r w:rsidR="001A3B88" w:rsidRPr="006C7B09">
        <w:rPr>
          <w:rFonts w:asciiTheme="majorHAnsi" w:eastAsiaTheme="minorHAnsi" w:hAnsiTheme="majorHAnsi" w:cstheme="majorHAnsi"/>
          <w:bCs/>
          <w:sz w:val="20"/>
          <w:szCs w:val="20"/>
          <w:lang w:val="sr-Cyrl-RS"/>
        </w:rPr>
        <w:t>е</w:t>
      </w:r>
      <w:r w:rsidRPr="006C7B09">
        <w:rPr>
          <w:rFonts w:asciiTheme="majorHAnsi" w:eastAsiaTheme="minorHAnsi" w:hAnsiTheme="majorHAnsi" w:cstheme="majorHAnsi"/>
          <w:bCs/>
          <w:sz w:val="20"/>
          <w:szCs w:val="20"/>
          <w:lang w:val="sr-Cyrl-RS"/>
        </w:rPr>
        <w:t xml:space="preserve"> природ</w:t>
      </w:r>
      <w:r w:rsidR="001A3B88" w:rsidRPr="006C7B09">
        <w:rPr>
          <w:rFonts w:asciiTheme="majorHAnsi" w:eastAsiaTheme="minorHAnsi" w:hAnsiTheme="majorHAnsi" w:cstheme="majorHAnsi"/>
          <w:bCs/>
          <w:sz w:val="20"/>
          <w:szCs w:val="20"/>
          <w:lang w:val="sr-Cyrl-RS"/>
        </w:rPr>
        <w:t>е,</w:t>
      </w:r>
      <w:r w:rsidRPr="006C7B09">
        <w:rPr>
          <w:rFonts w:asciiTheme="majorHAnsi" w:eastAsiaTheme="minorHAnsi" w:hAnsiTheme="majorHAnsi" w:cstheme="majorHAnsi"/>
          <w:bCs/>
          <w:sz w:val="20"/>
          <w:szCs w:val="20"/>
          <w:lang w:val="sr-Cyrl-RS"/>
        </w:rPr>
        <w:t xml:space="preserve"> саставни део процеса</w:t>
      </w:r>
      <w:r w:rsidR="001A3B88" w:rsidRPr="006C7B09">
        <w:rPr>
          <w:rFonts w:asciiTheme="majorHAnsi" w:eastAsiaTheme="minorHAnsi" w:hAnsiTheme="majorHAnsi" w:cstheme="majorHAnsi"/>
          <w:bCs/>
          <w:sz w:val="20"/>
          <w:szCs w:val="20"/>
          <w:lang w:val="sr-Cyrl-RS"/>
        </w:rPr>
        <w:t xml:space="preserve"> производње</w:t>
      </w:r>
      <w:r w:rsidRPr="006C7B09">
        <w:rPr>
          <w:rFonts w:asciiTheme="majorHAnsi" w:eastAsiaTheme="minorHAnsi" w:hAnsiTheme="majorHAnsi" w:cstheme="majorHAnsi"/>
          <w:bCs/>
          <w:sz w:val="20"/>
          <w:szCs w:val="20"/>
          <w:lang w:val="sr-Cyrl-RS"/>
        </w:rPr>
        <w:t xml:space="preserve"> </w:t>
      </w:r>
      <w:r w:rsidR="001A3B88" w:rsidRPr="006C7B09">
        <w:rPr>
          <w:rFonts w:asciiTheme="majorHAnsi" w:eastAsiaTheme="minorHAnsi" w:hAnsiTheme="majorHAnsi" w:cstheme="majorHAnsi"/>
          <w:bCs/>
          <w:sz w:val="20"/>
          <w:szCs w:val="20"/>
          <w:lang w:val="sr-Cyrl-RS"/>
        </w:rPr>
        <w:t>статистичких података</w:t>
      </w:r>
      <w:r w:rsidRPr="006C7B09">
        <w:rPr>
          <w:rFonts w:asciiTheme="majorHAnsi" w:eastAsiaTheme="minorHAnsi" w:hAnsiTheme="majorHAnsi" w:cstheme="majorHAnsi"/>
          <w:bCs/>
          <w:sz w:val="20"/>
          <w:szCs w:val="20"/>
          <w:lang w:val="sr-Cyrl-RS"/>
        </w:rPr>
        <w:t xml:space="preserve"> (нпр. </w:t>
      </w:r>
      <w:r w:rsidR="001A3B88" w:rsidRPr="006C7B09">
        <w:rPr>
          <w:rFonts w:asciiTheme="majorHAnsi" w:eastAsiaTheme="minorHAnsi" w:hAnsiTheme="majorHAnsi" w:cstheme="majorHAnsi"/>
          <w:bCs/>
          <w:sz w:val="20"/>
          <w:szCs w:val="20"/>
          <w:lang w:val="sr-Cyrl-RS"/>
        </w:rPr>
        <w:t>п</w:t>
      </w:r>
      <w:r w:rsidRPr="006C7B09">
        <w:rPr>
          <w:rFonts w:asciiTheme="majorHAnsi" w:eastAsiaTheme="minorHAnsi" w:hAnsiTheme="majorHAnsi" w:cstheme="majorHAnsi"/>
          <w:bCs/>
          <w:sz w:val="20"/>
          <w:szCs w:val="20"/>
          <w:lang w:val="sr-Cyrl-RS"/>
        </w:rPr>
        <w:t xml:space="preserve">роцењене вредности за податке </w:t>
      </w:r>
      <w:r w:rsidR="001A3B88" w:rsidRPr="006C7B09">
        <w:rPr>
          <w:rFonts w:asciiTheme="majorHAnsi" w:eastAsiaTheme="minorHAnsi" w:hAnsiTheme="majorHAnsi" w:cstheme="majorHAnsi"/>
          <w:bCs/>
          <w:sz w:val="20"/>
          <w:szCs w:val="20"/>
          <w:lang w:val="sr-Cyrl-RS"/>
        </w:rPr>
        <w:t xml:space="preserve">који су недостајали </w:t>
      </w:r>
      <w:r w:rsidRPr="006C7B09">
        <w:rPr>
          <w:rFonts w:asciiTheme="majorHAnsi" w:eastAsiaTheme="minorHAnsi" w:hAnsiTheme="majorHAnsi" w:cstheme="majorHAnsi"/>
          <w:bCs/>
          <w:sz w:val="20"/>
          <w:szCs w:val="20"/>
          <w:lang w:val="sr-Cyrl-RS"/>
        </w:rPr>
        <w:t>мењ</w:t>
      </w:r>
      <w:r w:rsidR="001A3B88" w:rsidRPr="006C7B09">
        <w:rPr>
          <w:rFonts w:asciiTheme="majorHAnsi" w:eastAsiaTheme="minorHAnsi" w:hAnsiTheme="majorHAnsi" w:cstheme="majorHAnsi"/>
          <w:bCs/>
          <w:sz w:val="20"/>
          <w:szCs w:val="20"/>
          <w:lang w:val="sr-Cyrl-RS"/>
        </w:rPr>
        <w:t>а</w:t>
      </w:r>
      <w:r w:rsidRPr="006C7B09">
        <w:rPr>
          <w:rFonts w:asciiTheme="majorHAnsi" w:eastAsiaTheme="minorHAnsi" w:hAnsiTheme="majorHAnsi" w:cstheme="majorHAnsi"/>
          <w:bCs/>
          <w:sz w:val="20"/>
          <w:szCs w:val="20"/>
          <w:lang w:val="sr-Cyrl-RS"/>
        </w:rPr>
        <w:t xml:space="preserve">ју се подацима </w:t>
      </w:r>
      <w:r w:rsidR="001A3B88" w:rsidRPr="006C7B09">
        <w:rPr>
          <w:rFonts w:asciiTheme="majorHAnsi" w:eastAsiaTheme="minorHAnsi" w:hAnsiTheme="majorHAnsi" w:cstheme="majorHAnsi"/>
          <w:bCs/>
          <w:sz w:val="20"/>
          <w:szCs w:val="20"/>
          <w:lang w:val="sr-Cyrl-RS"/>
        </w:rPr>
        <w:t xml:space="preserve">добијеним из </w:t>
      </w:r>
      <w:r w:rsidRPr="006C7B09">
        <w:rPr>
          <w:rFonts w:asciiTheme="majorHAnsi" w:eastAsiaTheme="minorHAnsi" w:hAnsiTheme="majorHAnsi" w:cstheme="majorHAnsi"/>
          <w:bCs/>
          <w:sz w:val="20"/>
          <w:szCs w:val="20"/>
          <w:lang w:val="sr-Cyrl-RS"/>
        </w:rPr>
        <w:t>статистички</w:t>
      </w:r>
      <w:r w:rsidR="001A3B88" w:rsidRPr="006C7B09">
        <w:rPr>
          <w:rFonts w:asciiTheme="majorHAnsi" w:eastAsiaTheme="minorHAnsi" w:hAnsiTheme="majorHAnsi" w:cstheme="majorHAnsi"/>
          <w:bCs/>
          <w:sz w:val="20"/>
          <w:szCs w:val="20"/>
          <w:lang w:val="sr-Cyrl-RS"/>
        </w:rPr>
        <w:t>х</w:t>
      </w:r>
      <w:r w:rsidRPr="006C7B09">
        <w:rPr>
          <w:rFonts w:asciiTheme="majorHAnsi" w:eastAsiaTheme="minorHAnsi" w:hAnsiTheme="majorHAnsi" w:cstheme="majorHAnsi"/>
          <w:bCs/>
          <w:sz w:val="20"/>
          <w:szCs w:val="20"/>
          <w:lang w:val="sr-Cyrl-RS"/>
        </w:rPr>
        <w:t xml:space="preserve"> истраживањ</w:t>
      </w:r>
      <w:r w:rsidR="001A3B88" w:rsidRPr="006C7B09">
        <w:rPr>
          <w:rFonts w:asciiTheme="majorHAnsi" w:eastAsiaTheme="minorHAnsi" w:hAnsiTheme="majorHAnsi" w:cstheme="majorHAnsi"/>
          <w:bCs/>
          <w:sz w:val="20"/>
          <w:szCs w:val="20"/>
          <w:lang w:val="sr-Cyrl-RS"/>
        </w:rPr>
        <w:t>а</w:t>
      </w:r>
      <w:r w:rsidRPr="006C7B09">
        <w:rPr>
          <w:rFonts w:asciiTheme="majorHAnsi" w:eastAsiaTheme="minorHAnsi" w:hAnsiTheme="majorHAnsi" w:cstheme="majorHAnsi"/>
          <w:bCs/>
          <w:sz w:val="20"/>
          <w:szCs w:val="20"/>
          <w:lang w:val="sr-Cyrl-RS"/>
        </w:rPr>
        <w:t xml:space="preserve">). </w:t>
      </w:r>
      <w:r w:rsidR="001A3B88" w:rsidRPr="006C7B09">
        <w:rPr>
          <w:rFonts w:asciiTheme="majorHAnsi" w:eastAsiaTheme="minorHAnsi" w:hAnsiTheme="majorHAnsi" w:cstheme="majorHAnsi"/>
          <w:bCs/>
          <w:sz w:val="20"/>
          <w:szCs w:val="20"/>
          <w:lang w:val="sr-Cyrl-RS"/>
        </w:rPr>
        <w:t xml:space="preserve">Оне се углавном спроводе због </w:t>
      </w:r>
      <w:r w:rsidRPr="006C7B09">
        <w:rPr>
          <w:rFonts w:asciiTheme="majorHAnsi" w:eastAsiaTheme="minorHAnsi" w:hAnsiTheme="majorHAnsi" w:cstheme="majorHAnsi"/>
          <w:bCs/>
          <w:sz w:val="20"/>
          <w:szCs w:val="20"/>
          <w:lang w:val="sr-Cyrl-RS"/>
        </w:rPr>
        <w:t>континуиран</w:t>
      </w:r>
      <w:r w:rsidR="001A3B88" w:rsidRPr="006C7B09">
        <w:rPr>
          <w:rFonts w:asciiTheme="majorHAnsi" w:eastAsiaTheme="minorHAnsi" w:hAnsiTheme="majorHAnsi" w:cstheme="majorHAnsi"/>
          <w:bCs/>
          <w:sz w:val="20"/>
          <w:szCs w:val="20"/>
          <w:lang w:val="sr-Cyrl-RS"/>
        </w:rPr>
        <w:t xml:space="preserve">ог дотока </w:t>
      </w:r>
      <w:r w:rsidRPr="006C7B09">
        <w:rPr>
          <w:rFonts w:asciiTheme="majorHAnsi" w:eastAsiaTheme="minorHAnsi" w:hAnsiTheme="majorHAnsi" w:cstheme="majorHAnsi"/>
          <w:bCs/>
          <w:sz w:val="20"/>
          <w:szCs w:val="20"/>
          <w:lang w:val="sr-Cyrl-RS"/>
        </w:rPr>
        <w:t xml:space="preserve">нових информација и </w:t>
      </w:r>
      <w:r w:rsidR="001A3B88" w:rsidRPr="006C7B09">
        <w:rPr>
          <w:rFonts w:asciiTheme="majorHAnsi" w:eastAsiaTheme="minorHAnsi" w:hAnsiTheme="majorHAnsi" w:cstheme="majorHAnsi"/>
          <w:bCs/>
          <w:sz w:val="20"/>
          <w:szCs w:val="20"/>
          <w:lang w:val="sr-Cyrl-RS"/>
        </w:rPr>
        <w:t xml:space="preserve">доступности </w:t>
      </w:r>
      <w:r w:rsidRPr="006C7B09">
        <w:rPr>
          <w:rFonts w:asciiTheme="majorHAnsi" w:eastAsiaTheme="minorHAnsi" w:hAnsiTheme="majorHAnsi" w:cstheme="majorHAnsi"/>
          <w:bCs/>
          <w:sz w:val="20"/>
          <w:szCs w:val="20"/>
          <w:lang w:val="sr-Cyrl-RS"/>
        </w:rPr>
        <w:t xml:space="preserve">нових података </w:t>
      </w:r>
      <w:r w:rsidR="001A3B88" w:rsidRPr="006C7B09">
        <w:rPr>
          <w:rFonts w:asciiTheme="majorHAnsi" w:eastAsiaTheme="minorHAnsi" w:hAnsiTheme="majorHAnsi" w:cstheme="majorHAnsi"/>
          <w:bCs/>
          <w:sz w:val="20"/>
          <w:szCs w:val="20"/>
          <w:lang w:val="sr-Cyrl-RS"/>
        </w:rPr>
        <w:t xml:space="preserve">који се односе на </w:t>
      </w:r>
      <w:r w:rsidRPr="006C7B09">
        <w:rPr>
          <w:rFonts w:asciiTheme="majorHAnsi" w:eastAsiaTheme="minorHAnsi" w:hAnsiTheme="majorHAnsi" w:cstheme="majorHAnsi"/>
          <w:bCs/>
          <w:sz w:val="20"/>
          <w:szCs w:val="20"/>
          <w:lang w:val="sr-Cyrl-RS"/>
        </w:rPr>
        <w:t>прошлост.</w:t>
      </w:r>
    </w:p>
    <w:p w:rsidR="00A33434" w:rsidRPr="006C7B09" w:rsidRDefault="00A33434" w:rsidP="005C4ABB">
      <w:pPr>
        <w:spacing w:after="0" w:line="276" w:lineRule="auto"/>
        <w:jc w:val="both"/>
        <w:rPr>
          <w:rFonts w:asciiTheme="majorHAnsi" w:eastAsiaTheme="minorHAnsi" w:hAnsiTheme="majorHAnsi" w:cstheme="majorHAnsi"/>
          <w:bCs/>
          <w:sz w:val="20"/>
          <w:szCs w:val="20"/>
          <w:lang w:val="sr-Cyrl-RS"/>
        </w:rPr>
      </w:pPr>
    </w:p>
    <w:p w:rsidR="001A3B88" w:rsidRDefault="00666F59" w:rsidP="005C4ABB">
      <w:pPr>
        <w:spacing w:after="0" w:line="276" w:lineRule="auto"/>
        <w:jc w:val="both"/>
        <w:rPr>
          <w:rFonts w:asciiTheme="majorHAnsi" w:eastAsiaTheme="minorHAnsi" w:hAnsiTheme="majorHAnsi" w:cstheme="majorHAnsi"/>
          <w:bCs/>
          <w:sz w:val="20"/>
          <w:szCs w:val="20"/>
          <w:lang w:val="sr-Cyrl-RS"/>
        </w:rPr>
      </w:pPr>
      <w:r w:rsidRPr="006C7B09">
        <w:rPr>
          <w:rFonts w:asciiTheme="majorHAnsi" w:eastAsiaTheme="minorHAnsi" w:hAnsiTheme="majorHAnsi" w:cstheme="majorHAnsi"/>
          <w:bCs/>
          <w:sz w:val="20"/>
          <w:szCs w:val="20"/>
          <w:lang w:val="sr-Cyrl-RS"/>
        </w:rPr>
        <w:t>Текуће ревизије с</w:t>
      </w:r>
      <w:r w:rsidR="001A3B88" w:rsidRPr="006C7B09">
        <w:rPr>
          <w:rFonts w:asciiTheme="majorHAnsi" w:eastAsiaTheme="minorHAnsi" w:hAnsiTheme="majorHAnsi" w:cstheme="majorHAnsi"/>
          <w:bCs/>
          <w:sz w:val="20"/>
          <w:szCs w:val="20"/>
          <w:lang w:val="sr-Cyrl-RS"/>
        </w:rPr>
        <w:t>у</w:t>
      </w:r>
      <w:r w:rsidRPr="006C7B09">
        <w:rPr>
          <w:rFonts w:asciiTheme="majorHAnsi" w:eastAsiaTheme="minorHAnsi" w:hAnsiTheme="majorHAnsi" w:cstheme="majorHAnsi"/>
          <w:bCs/>
          <w:sz w:val="20"/>
          <w:szCs w:val="20"/>
          <w:lang w:val="sr-Cyrl-RS"/>
        </w:rPr>
        <w:t xml:space="preserve"> планира</w:t>
      </w:r>
      <w:r w:rsidR="001A3B88" w:rsidRPr="006C7B09">
        <w:rPr>
          <w:rFonts w:asciiTheme="majorHAnsi" w:eastAsiaTheme="minorHAnsi" w:hAnsiTheme="majorHAnsi" w:cstheme="majorHAnsi"/>
          <w:bCs/>
          <w:sz w:val="20"/>
          <w:szCs w:val="20"/>
          <w:lang w:val="sr-Cyrl-RS"/>
        </w:rPr>
        <w:t>не</w:t>
      </w:r>
      <w:r w:rsidRPr="006C7B09">
        <w:rPr>
          <w:rFonts w:asciiTheme="majorHAnsi" w:eastAsiaTheme="minorHAnsi" w:hAnsiTheme="majorHAnsi" w:cstheme="majorHAnsi"/>
          <w:bCs/>
          <w:sz w:val="20"/>
          <w:szCs w:val="20"/>
          <w:lang w:val="sr-Cyrl-RS"/>
        </w:rPr>
        <w:t xml:space="preserve">, најављују </w:t>
      </w:r>
      <w:r w:rsidR="001A3B88" w:rsidRPr="006C7B09">
        <w:rPr>
          <w:rFonts w:asciiTheme="majorHAnsi" w:eastAsiaTheme="minorHAnsi" w:hAnsiTheme="majorHAnsi" w:cstheme="majorHAnsi"/>
          <w:bCs/>
          <w:sz w:val="20"/>
          <w:szCs w:val="20"/>
          <w:lang w:val="sr-Cyrl-RS"/>
        </w:rPr>
        <w:t xml:space="preserve">се </w:t>
      </w:r>
      <w:r w:rsidRPr="006C7B09">
        <w:rPr>
          <w:rFonts w:asciiTheme="majorHAnsi" w:eastAsiaTheme="minorHAnsi" w:hAnsiTheme="majorHAnsi" w:cstheme="majorHAnsi"/>
          <w:bCs/>
          <w:sz w:val="20"/>
          <w:szCs w:val="20"/>
          <w:lang w:val="sr-Cyrl-RS"/>
        </w:rPr>
        <w:t xml:space="preserve">и </w:t>
      </w:r>
      <w:r w:rsidR="001A3B88" w:rsidRPr="006C7B09">
        <w:rPr>
          <w:rFonts w:asciiTheme="majorHAnsi" w:eastAsiaTheme="minorHAnsi" w:hAnsiTheme="majorHAnsi" w:cstheme="majorHAnsi"/>
          <w:bCs/>
          <w:sz w:val="20"/>
          <w:szCs w:val="20"/>
          <w:lang w:val="sr-Cyrl-RS"/>
        </w:rPr>
        <w:t xml:space="preserve">редовно се обављају </w:t>
      </w:r>
      <w:r w:rsidRPr="006C7B09">
        <w:rPr>
          <w:rFonts w:asciiTheme="majorHAnsi" w:eastAsiaTheme="minorHAnsi" w:hAnsiTheme="majorHAnsi" w:cstheme="majorHAnsi"/>
          <w:bCs/>
          <w:sz w:val="20"/>
          <w:szCs w:val="20"/>
          <w:lang w:val="sr-Cyrl-RS"/>
        </w:rPr>
        <w:t xml:space="preserve">према </w:t>
      </w:r>
      <w:r w:rsidR="001A3B88" w:rsidRPr="006C7B09">
        <w:rPr>
          <w:rFonts w:asciiTheme="majorHAnsi" w:eastAsiaTheme="minorHAnsi" w:hAnsiTheme="majorHAnsi" w:cstheme="majorHAnsi"/>
          <w:bCs/>
          <w:sz w:val="20"/>
          <w:szCs w:val="20"/>
          <w:lang w:val="sr-Cyrl-RS"/>
        </w:rPr>
        <w:t xml:space="preserve">назначеним </w:t>
      </w:r>
      <w:r w:rsidRPr="006C7B09">
        <w:rPr>
          <w:rFonts w:asciiTheme="majorHAnsi" w:eastAsiaTheme="minorHAnsi" w:hAnsiTheme="majorHAnsi" w:cstheme="majorHAnsi"/>
          <w:bCs/>
          <w:sz w:val="20"/>
          <w:szCs w:val="20"/>
          <w:lang w:val="sr-Cyrl-RS"/>
        </w:rPr>
        <w:t xml:space="preserve">датумима </w:t>
      </w:r>
      <w:r w:rsidR="001A3B88" w:rsidRPr="006C7B09">
        <w:rPr>
          <w:rFonts w:asciiTheme="majorHAnsi" w:eastAsiaTheme="minorHAnsi" w:hAnsiTheme="majorHAnsi" w:cstheme="majorHAnsi"/>
          <w:bCs/>
          <w:sz w:val="20"/>
          <w:szCs w:val="20"/>
          <w:lang w:val="sr-Cyrl-RS"/>
        </w:rPr>
        <w:t>у</w:t>
      </w:r>
      <w:r w:rsidRPr="006C7B09">
        <w:rPr>
          <w:rFonts w:asciiTheme="majorHAnsi" w:eastAsiaTheme="minorHAnsi" w:hAnsiTheme="majorHAnsi" w:cstheme="majorHAnsi"/>
          <w:bCs/>
          <w:sz w:val="20"/>
          <w:szCs w:val="20"/>
          <w:lang w:val="sr-Cyrl-RS"/>
        </w:rPr>
        <w:t xml:space="preserve"> месечној, кварталној и годишњој </w:t>
      </w:r>
      <w:r w:rsidR="001A3B88" w:rsidRPr="006C7B09">
        <w:rPr>
          <w:rFonts w:asciiTheme="majorHAnsi" w:eastAsiaTheme="minorHAnsi" w:hAnsiTheme="majorHAnsi" w:cstheme="majorHAnsi"/>
          <w:bCs/>
          <w:sz w:val="20"/>
          <w:szCs w:val="20"/>
          <w:lang w:val="sr-Cyrl-RS"/>
        </w:rPr>
        <w:t>периодици</w:t>
      </w:r>
      <w:r w:rsidRPr="006C7B09">
        <w:rPr>
          <w:rFonts w:asciiTheme="majorHAnsi" w:eastAsiaTheme="minorHAnsi" w:hAnsiTheme="majorHAnsi" w:cstheme="majorHAnsi"/>
          <w:bCs/>
          <w:sz w:val="20"/>
          <w:szCs w:val="20"/>
          <w:lang w:val="sr-Cyrl-RS"/>
        </w:rPr>
        <w:t xml:space="preserve">. </w:t>
      </w:r>
    </w:p>
    <w:p w:rsidR="00A33434" w:rsidRPr="006C7B09" w:rsidRDefault="00A33434" w:rsidP="005C4ABB">
      <w:pPr>
        <w:spacing w:after="0" w:line="276" w:lineRule="auto"/>
        <w:jc w:val="both"/>
        <w:rPr>
          <w:rFonts w:asciiTheme="majorHAnsi" w:eastAsiaTheme="minorHAnsi" w:hAnsiTheme="majorHAnsi" w:cstheme="majorHAnsi"/>
          <w:bCs/>
          <w:sz w:val="20"/>
          <w:szCs w:val="20"/>
          <w:lang w:val="sr-Cyrl-RS"/>
        </w:rPr>
      </w:pPr>
    </w:p>
    <w:p w:rsidR="00666F59" w:rsidRDefault="007865BD" w:rsidP="005C4ABB">
      <w:pPr>
        <w:spacing w:after="0" w:line="276" w:lineRule="auto"/>
        <w:jc w:val="both"/>
        <w:rPr>
          <w:rFonts w:asciiTheme="majorHAnsi" w:eastAsiaTheme="minorHAnsi" w:hAnsiTheme="majorHAnsi" w:cstheme="majorHAnsi"/>
          <w:bCs/>
          <w:sz w:val="20"/>
          <w:szCs w:val="20"/>
          <w:lang w:val="sr-Cyrl-RS"/>
        </w:rPr>
      </w:pPr>
      <w:r w:rsidRPr="006C7B09">
        <w:rPr>
          <w:rFonts w:asciiTheme="majorHAnsi" w:eastAsiaTheme="minorHAnsi" w:hAnsiTheme="majorHAnsi" w:cstheme="majorHAnsi"/>
          <w:bCs/>
          <w:sz w:val="20"/>
          <w:szCs w:val="20"/>
          <w:lang w:val="sr-Cyrl-RS"/>
        </w:rPr>
        <w:t xml:space="preserve">Ове ревизије су </w:t>
      </w:r>
      <w:r w:rsidR="001A3B88" w:rsidRPr="006C7B09">
        <w:rPr>
          <w:rFonts w:asciiTheme="majorHAnsi" w:eastAsiaTheme="minorHAnsi" w:hAnsiTheme="majorHAnsi" w:cstheme="majorHAnsi"/>
          <w:bCs/>
          <w:sz w:val="20"/>
          <w:szCs w:val="20"/>
          <w:lang w:val="sr-Cyrl-RS"/>
        </w:rPr>
        <w:t>превасходно</w:t>
      </w:r>
      <w:r w:rsidRPr="006C7B09">
        <w:rPr>
          <w:rFonts w:asciiTheme="majorHAnsi" w:eastAsiaTheme="minorHAnsi" w:hAnsiTheme="majorHAnsi" w:cstheme="majorHAnsi"/>
          <w:bCs/>
          <w:sz w:val="20"/>
          <w:szCs w:val="20"/>
          <w:lang w:val="sr-Cyrl-RS"/>
        </w:rPr>
        <w:t xml:space="preserve"> ор</w:t>
      </w:r>
      <w:r w:rsidR="001A3B88" w:rsidRPr="006C7B09">
        <w:rPr>
          <w:rFonts w:asciiTheme="majorHAnsi" w:eastAsiaTheme="minorHAnsi" w:hAnsiTheme="majorHAnsi" w:cstheme="majorHAnsi"/>
          <w:bCs/>
          <w:sz w:val="20"/>
          <w:szCs w:val="20"/>
          <w:lang w:val="sr-Cyrl-RS"/>
        </w:rPr>
        <w:t>и</w:t>
      </w:r>
      <w:r w:rsidRPr="006C7B09">
        <w:rPr>
          <w:rFonts w:asciiTheme="majorHAnsi" w:eastAsiaTheme="minorHAnsi" w:hAnsiTheme="majorHAnsi" w:cstheme="majorHAnsi"/>
          <w:bCs/>
          <w:sz w:val="20"/>
          <w:szCs w:val="20"/>
          <w:lang w:val="sr-Cyrl-RS"/>
        </w:rPr>
        <w:t xml:space="preserve">јентисане на краткорочне статистике, које су чешће </w:t>
      </w:r>
      <w:r w:rsidR="001A3B88" w:rsidRPr="006C7B09">
        <w:rPr>
          <w:rFonts w:asciiTheme="majorHAnsi" w:eastAsiaTheme="minorHAnsi" w:hAnsiTheme="majorHAnsi" w:cstheme="majorHAnsi"/>
          <w:bCs/>
          <w:sz w:val="20"/>
          <w:szCs w:val="20"/>
          <w:lang w:val="sr-Cyrl-RS"/>
        </w:rPr>
        <w:t xml:space="preserve">изложене </w:t>
      </w:r>
      <w:r w:rsidRPr="006C7B09">
        <w:rPr>
          <w:rFonts w:asciiTheme="majorHAnsi" w:eastAsiaTheme="minorHAnsi" w:hAnsiTheme="majorHAnsi" w:cstheme="majorHAnsi"/>
          <w:bCs/>
          <w:sz w:val="20"/>
          <w:szCs w:val="20"/>
          <w:lang w:val="sr-Cyrl-RS"/>
        </w:rPr>
        <w:t xml:space="preserve">променама због краћег временског </w:t>
      </w:r>
      <w:r w:rsidR="001A3B88" w:rsidRPr="006C7B09">
        <w:rPr>
          <w:rFonts w:asciiTheme="majorHAnsi" w:eastAsiaTheme="minorHAnsi" w:hAnsiTheme="majorHAnsi" w:cstheme="majorHAnsi"/>
          <w:bCs/>
          <w:sz w:val="20"/>
          <w:szCs w:val="20"/>
          <w:lang w:val="sr-Cyrl-RS"/>
        </w:rPr>
        <w:t xml:space="preserve">размака </w:t>
      </w:r>
      <w:r w:rsidRPr="006C7B09">
        <w:rPr>
          <w:rFonts w:asciiTheme="majorHAnsi" w:eastAsiaTheme="minorHAnsi" w:hAnsiTheme="majorHAnsi" w:cstheme="majorHAnsi"/>
          <w:bCs/>
          <w:sz w:val="20"/>
          <w:szCs w:val="20"/>
          <w:lang w:val="sr-Cyrl-RS"/>
        </w:rPr>
        <w:t xml:space="preserve">између периода на који се подаци односе и датума њиховог </w:t>
      </w:r>
      <w:r w:rsidR="001A3B88" w:rsidRPr="006C7B09">
        <w:rPr>
          <w:rFonts w:asciiTheme="majorHAnsi" w:eastAsiaTheme="minorHAnsi" w:hAnsiTheme="majorHAnsi" w:cstheme="majorHAnsi"/>
          <w:bCs/>
          <w:sz w:val="20"/>
          <w:szCs w:val="20"/>
          <w:lang w:val="sr-Cyrl-RS"/>
        </w:rPr>
        <w:t xml:space="preserve">публиковања, али се могу спроводити </w:t>
      </w:r>
      <w:r w:rsidRPr="006C7B09">
        <w:rPr>
          <w:rFonts w:asciiTheme="majorHAnsi" w:eastAsiaTheme="minorHAnsi" w:hAnsiTheme="majorHAnsi" w:cstheme="majorHAnsi"/>
          <w:bCs/>
          <w:sz w:val="20"/>
          <w:szCs w:val="20"/>
          <w:lang w:val="sr-Cyrl-RS"/>
        </w:rPr>
        <w:t xml:space="preserve">и </w:t>
      </w:r>
      <w:r w:rsidR="001A3B88" w:rsidRPr="006C7B09">
        <w:rPr>
          <w:rFonts w:asciiTheme="majorHAnsi" w:eastAsiaTheme="minorHAnsi" w:hAnsiTheme="majorHAnsi" w:cstheme="majorHAnsi"/>
          <w:bCs/>
          <w:sz w:val="20"/>
          <w:szCs w:val="20"/>
          <w:lang w:val="sr-Cyrl-RS"/>
        </w:rPr>
        <w:t xml:space="preserve">код </w:t>
      </w:r>
      <w:r w:rsidRPr="006C7B09">
        <w:rPr>
          <w:rFonts w:asciiTheme="majorHAnsi" w:eastAsiaTheme="minorHAnsi" w:hAnsiTheme="majorHAnsi" w:cstheme="majorHAnsi"/>
          <w:bCs/>
          <w:sz w:val="20"/>
          <w:szCs w:val="20"/>
          <w:lang w:val="sr-Cyrl-RS"/>
        </w:rPr>
        <w:t>годиш</w:t>
      </w:r>
      <w:r w:rsidR="001A3B88" w:rsidRPr="006C7B09">
        <w:rPr>
          <w:rFonts w:asciiTheme="majorHAnsi" w:eastAsiaTheme="minorHAnsi" w:hAnsiTheme="majorHAnsi" w:cstheme="majorHAnsi"/>
          <w:bCs/>
          <w:sz w:val="20"/>
          <w:szCs w:val="20"/>
          <w:lang w:val="sr-Cyrl-RS"/>
        </w:rPr>
        <w:t>њ</w:t>
      </w:r>
      <w:r w:rsidRPr="006C7B09">
        <w:rPr>
          <w:rFonts w:asciiTheme="majorHAnsi" w:eastAsiaTheme="minorHAnsi" w:hAnsiTheme="majorHAnsi" w:cstheme="majorHAnsi"/>
          <w:bCs/>
          <w:sz w:val="20"/>
          <w:szCs w:val="20"/>
          <w:lang w:val="sr-Cyrl-RS"/>
        </w:rPr>
        <w:t>и</w:t>
      </w:r>
      <w:r w:rsidR="001A3B88" w:rsidRPr="006C7B09">
        <w:rPr>
          <w:rFonts w:asciiTheme="majorHAnsi" w:eastAsiaTheme="minorHAnsi" w:hAnsiTheme="majorHAnsi" w:cstheme="majorHAnsi"/>
          <w:bCs/>
          <w:sz w:val="20"/>
          <w:szCs w:val="20"/>
          <w:lang w:val="sr-Cyrl-RS"/>
        </w:rPr>
        <w:t>х</w:t>
      </w:r>
      <w:r w:rsidRPr="006C7B09">
        <w:rPr>
          <w:rFonts w:asciiTheme="majorHAnsi" w:eastAsiaTheme="minorHAnsi" w:hAnsiTheme="majorHAnsi" w:cstheme="majorHAnsi"/>
          <w:bCs/>
          <w:sz w:val="20"/>
          <w:szCs w:val="20"/>
          <w:lang w:val="sr-Cyrl-RS"/>
        </w:rPr>
        <w:t xml:space="preserve"> статистика.</w:t>
      </w:r>
    </w:p>
    <w:p w:rsidR="00A33434" w:rsidRPr="006C7B09" w:rsidRDefault="00A33434" w:rsidP="00A33434">
      <w:pPr>
        <w:spacing w:after="0"/>
        <w:jc w:val="both"/>
        <w:rPr>
          <w:rFonts w:asciiTheme="majorHAnsi" w:eastAsiaTheme="minorHAnsi" w:hAnsiTheme="majorHAnsi" w:cstheme="majorHAnsi"/>
          <w:bCs/>
          <w:sz w:val="20"/>
          <w:szCs w:val="20"/>
          <w:lang w:val="sr-Cyrl-RS"/>
        </w:rPr>
      </w:pPr>
    </w:p>
    <w:p w:rsidR="004560A2" w:rsidRPr="006C7B09" w:rsidRDefault="005565E9" w:rsidP="00F32202">
      <w:pPr>
        <w:jc w:val="center"/>
        <w:rPr>
          <w:rFonts w:asciiTheme="majorHAnsi" w:hAnsiTheme="majorHAnsi" w:cstheme="majorHAnsi"/>
          <w:b/>
          <w:sz w:val="20"/>
          <w:szCs w:val="20"/>
          <w:lang w:val="sr-Cyrl-RS"/>
        </w:rPr>
      </w:pPr>
      <w:r w:rsidRPr="006C7B09">
        <w:rPr>
          <w:rFonts w:asciiTheme="majorHAnsi" w:eastAsiaTheme="minorHAnsi" w:hAnsiTheme="majorHAnsi" w:cstheme="majorHAnsi"/>
          <w:b/>
          <w:bCs/>
          <w:sz w:val="20"/>
          <w:szCs w:val="20"/>
          <w:lang w:val="sr-Cyrl-RS"/>
        </w:rPr>
        <w:t>Основни агрегати н</w:t>
      </w:r>
      <w:r w:rsidR="007865BD" w:rsidRPr="006C7B09">
        <w:rPr>
          <w:rFonts w:asciiTheme="majorHAnsi" w:hAnsiTheme="majorHAnsi" w:cstheme="majorHAnsi"/>
          <w:b/>
          <w:sz w:val="20"/>
          <w:szCs w:val="20"/>
          <w:lang w:val="sr-Cyrl-RS"/>
        </w:rPr>
        <w:t>ационални</w:t>
      </w:r>
      <w:r w:rsidRPr="006C7B09">
        <w:rPr>
          <w:rFonts w:asciiTheme="majorHAnsi" w:hAnsiTheme="majorHAnsi" w:cstheme="majorHAnsi"/>
          <w:b/>
          <w:sz w:val="20"/>
          <w:szCs w:val="20"/>
          <w:lang w:val="sr-Cyrl-RS"/>
        </w:rPr>
        <w:t xml:space="preserve">х </w:t>
      </w:r>
      <w:r w:rsidR="007865BD" w:rsidRPr="006C7B09">
        <w:rPr>
          <w:rFonts w:asciiTheme="majorHAnsi" w:hAnsiTheme="majorHAnsi" w:cstheme="majorHAnsi"/>
          <w:b/>
          <w:sz w:val="20"/>
          <w:szCs w:val="20"/>
          <w:lang w:val="sr-Cyrl-RS"/>
        </w:rPr>
        <w:t>рачун</w:t>
      </w:r>
      <w:r w:rsidRPr="006C7B09">
        <w:rPr>
          <w:rFonts w:asciiTheme="majorHAnsi" w:hAnsiTheme="majorHAnsi" w:cstheme="majorHAnsi"/>
          <w:b/>
          <w:sz w:val="20"/>
          <w:szCs w:val="20"/>
          <w:lang w:val="sr-Cyrl-RS"/>
        </w:rPr>
        <w:t>а</w:t>
      </w:r>
      <w:r w:rsidR="007865BD" w:rsidRPr="006C7B09">
        <w:rPr>
          <w:rFonts w:asciiTheme="majorHAnsi" w:hAnsiTheme="majorHAnsi" w:cstheme="majorHAnsi"/>
          <w:b/>
          <w:sz w:val="20"/>
          <w:szCs w:val="20"/>
          <w:lang w:val="sr-Cyrl-RS"/>
        </w:rPr>
        <w:t xml:space="preserve">, квартални подаци </w:t>
      </w:r>
    </w:p>
    <w:tbl>
      <w:tblPr>
        <w:tblStyle w:val="TableGrid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6"/>
        <w:gridCol w:w="1430"/>
        <w:gridCol w:w="1868"/>
        <w:gridCol w:w="1864"/>
        <w:gridCol w:w="1872"/>
      </w:tblGrid>
      <w:tr w:rsidR="007865BD" w:rsidRPr="006C7B09" w:rsidTr="00D21DC9">
        <w:trPr>
          <w:trHeight w:val="416"/>
          <w:jc w:val="center"/>
        </w:trPr>
        <w:tc>
          <w:tcPr>
            <w:tcW w:w="2326" w:type="dxa"/>
            <w:tcBorders>
              <w:top w:val="single" w:sz="8" w:space="0" w:color="auto"/>
              <w:bottom w:val="nil"/>
            </w:tcBorders>
            <w:shd w:val="clear" w:color="auto" w:fill="E2EFD9" w:themeFill="accent6" w:themeFillTint="33"/>
            <w:vAlign w:val="center"/>
          </w:tcPr>
          <w:p w:rsidR="00CD3DBB" w:rsidRPr="006C7B09" w:rsidRDefault="00CD3DBB" w:rsidP="008775ED">
            <w:pPr>
              <w:spacing w:before="240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7034" w:type="dxa"/>
            <w:gridSpan w:val="4"/>
            <w:tcBorders>
              <w:top w:val="single" w:sz="8" w:space="0" w:color="auto"/>
              <w:bottom w:val="nil"/>
            </w:tcBorders>
            <w:shd w:val="clear" w:color="auto" w:fill="E2EFD9" w:themeFill="accent6" w:themeFillTint="33"/>
            <w:vAlign w:val="center"/>
          </w:tcPr>
          <w:p w:rsidR="00CD3DBB" w:rsidRPr="006C7B09" w:rsidRDefault="007865BD" w:rsidP="00C1276B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6C7B09">
              <w:rPr>
                <w:rFonts w:asciiTheme="majorHAnsi" w:hAnsiTheme="majorHAnsi" w:cstheme="majorHAnsi"/>
                <w:b/>
                <w:sz w:val="18"/>
                <w:szCs w:val="18"/>
                <w:lang w:val="sr-Cyrl-RS"/>
              </w:rPr>
              <w:t xml:space="preserve">Датум </w:t>
            </w:r>
            <w:r w:rsidR="00C1276B" w:rsidRPr="006C7B09">
              <w:rPr>
                <w:rFonts w:asciiTheme="majorHAnsi" w:hAnsiTheme="majorHAnsi" w:cstheme="majorHAnsi"/>
                <w:b/>
                <w:sz w:val="18"/>
                <w:szCs w:val="18"/>
                <w:lang w:val="sr-Cyrl-RS"/>
              </w:rPr>
              <w:t>публиковања</w:t>
            </w:r>
          </w:p>
        </w:tc>
      </w:tr>
      <w:tr w:rsidR="00C1276B" w:rsidRPr="006C7B09" w:rsidTr="00D21DC9">
        <w:trPr>
          <w:trHeight w:val="387"/>
          <w:jc w:val="center"/>
        </w:trPr>
        <w:tc>
          <w:tcPr>
            <w:tcW w:w="2326" w:type="dxa"/>
            <w:tcBorders>
              <w:top w:val="nil"/>
              <w:bottom w:val="single" w:sz="8" w:space="0" w:color="A8D08D" w:themeColor="accent6" w:themeTint="99"/>
            </w:tcBorders>
            <w:shd w:val="clear" w:color="auto" w:fill="E2EFD9" w:themeFill="accent6" w:themeFillTint="33"/>
            <w:vAlign w:val="center"/>
          </w:tcPr>
          <w:p w:rsidR="00CD3DBB" w:rsidRPr="006C7B09" w:rsidRDefault="007865BD" w:rsidP="008A3384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6C7B09">
              <w:rPr>
                <w:rFonts w:asciiTheme="majorHAnsi" w:hAnsiTheme="majorHAnsi" w:cstheme="majorHAnsi"/>
                <w:b/>
                <w:sz w:val="18"/>
                <w:szCs w:val="18"/>
                <w:lang w:val="sr-Cyrl-RS"/>
              </w:rPr>
              <w:t>Година</w:t>
            </w:r>
            <w:r w:rsidR="00CD3DBB" w:rsidRPr="006C7B0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t</w:t>
            </w:r>
          </w:p>
        </w:tc>
        <w:tc>
          <w:tcPr>
            <w:tcW w:w="1430" w:type="dxa"/>
            <w:tcBorders>
              <w:top w:val="nil"/>
              <w:bottom w:val="single" w:sz="8" w:space="0" w:color="A8D08D" w:themeColor="accent6" w:themeTint="99"/>
            </w:tcBorders>
            <w:shd w:val="clear" w:color="auto" w:fill="E2EFD9" w:themeFill="accent6" w:themeFillTint="33"/>
            <w:vAlign w:val="center"/>
          </w:tcPr>
          <w:p w:rsidR="00921B49" w:rsidRPr="006C7B09" w:rsidRDefault="00C26B86" w:rsidP="00C1276B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6C7B09">
              <w:rPr>
                <w:rFonts w:asciiTheme="majorHAnsi" w:hAnsiTheme="majorHAnsi" w:cstheme="majorHAnsi"/>
                <w:b/>
                <w:sz w:val="18"/>
                <w:szCs w:val="18"/>
              </w:rPr>
              <w:t>28/29</w:t>
            </w:r>
            <w:r w:rsidR="00C1276B" w:rsidRPr="006C7B09">
              <w:rPr>
                <w:rFonts w:asciiTheme="majorHAnsi" w:hAnsiTheme="majorHAnsi" w:cstheme="majorHAnsi"/>
                <w:b/>
                <w:sz w:val="18"/>
                <w:szCs w:val="18"/>
                <w:lang w:val="sr-Cyrl-RS"/>
              </w:rPr>
              <w:t>.</w:t>
            </w:r>
            <w:r w:rsidRPr="006C7B0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 w:rsidR="00C1276B" w:rsidRPr="006C7B09">
              <w:rPr>
                <w:rFonts w:asciiTheme="majorHAnsi" w:hAnsiTheme="majorHAnsi" w:cstheme="majorHAnsi"/>
                <w:b/>
                <w:sz w:val="18"/>
                <w:szCs w:val="18"/>
                <w:lang w:val="sr-Cyrl-RS"/>
              </w:rPr>
              <w:t>ф</w:t>
            </w:r>
            <w:r w:rsidR="007865BD" w:rsidRPr="006C7B09">
              <w:rPr>
                <w:rFonts w:asciiTheme="majorHAnsi" w:hAnsiTheme="majorHAnsi" w:cstheme="majorHAnsi"/>
                <w:b/>
                <w:sz w:val="18"/>
                <w:szCs w:val="18"/>
                <w:lang w:val="sr-Cyrl-RS"/>
              </w:rPr>
              <w:t>ебруар</w:t>
            </w:r>
          </w:p>
        </w:tc>
        <w:tc>
          <w:tcPr>
            <w:tcW w:w="1868" w:type="dxa"/>
            <w:tcBorders>
              <w:top w:val="nil"/>
              <w:bottom w:val="single" w:sz="8" w:space="0" w:color="A8D08D" w:themeColor="accent6" w:themeTint="99"/>
            </w:tcBorders>
            <w:shd w:val="clear" w:color="auto" w:fill="E2EFD9" w:themeFill="accent6" w:themeFillTint="33"/>
            <w:vAlign w:val="center"/>
          </w:tcPr>
          <w:p w:rsidR="00CD3DBB" w:rsidRPr="006C7B09" w:rsidRDefault="00C26B86" w:rsidP="00C1276B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6C7B09">
              <w:rPr>
                <w:rFonts w:asciiTheme="majorHAnsi" w:hAnsiTheme="majorHAnsi" w:cstheme="majorHAnsi"/>
                <w:b/>
                <w:sz w:val="18"/>
                <w:szCs w:val="18"/>
              </w:rPr>
              <w:t>31</w:t>
            </w:r>
            <w:r w:rsidR="00C1276B" w:rsidRPr="006C7B09">
              <w:rPr>
                <w:rFonts w:asciiTheme="majorHAnsi" w:hAnsiTheme="majorHAnsi" w:cstheme="majorHAnsi"/>
                <w:b/>
                <w:sz w:val="18"/>
                <w:szCs w:val="18"/>
                <w:lang w:val="sr-Cyrl-RS"/>
              </w:rPr>
              <w:t>.</w:t>
            </w:r>
            <w:r w:rsidRPr="006C7B0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 w:rsidR="00C1276B" w:rsidRPr="006C7B09">
              <w:rPr>
                <w:rFonts w:asciiTheme="majorHAnsi" w:hAnsiTheme="majorHAnsi" w:cstheme="majorHAnsi"/>
                <w:b/>
                <w:sz w:val="18"/>
                <w:szCs w:val="18"/>
                <w:lang w:val="sr-Cyrl-RS"/>
              </w:rPr>
              <w:t>м</w:t>
            </w:r>
            <w:r w:rsidR="007865BD" w:rsidRPr="006C7B09">
              <w:rPr>
                <w:rFonts w:asciiTheme="majorHAnsi" w:hAnsiTheme="majorHAnsi" w:cstheme="majorHAnsi"/>
                <w:b/>
                <w:sz w:val="18"/>
                <w:szCs w:val="18"/>
                <w:lang w:val="sr-Cyrl-RS"/>
              </w:rPr>
              <w:t>ај</w:t>
            </w:r>
          </w:p>
        </w:tc>
        <w:tc>
          <w:tcPr>
            <w:tcW w:w="1864" w:type="dxa"/>
            <w:tcBorders>
              <w:top w:val="nil"/>
              <w:bottom w:val="single" w:sz="8" w:space="0" w:color="A8D08D" w:themeColor="accent6" w:themeTint="99"/>
            </w:tcBorders>
            <w:shd w:val="clear" w:color="auto" w:fill="E2EFD9" w:themeFill="accent6" w:themeFillTint="33"/>
            <w:vAlign w:val="center"/>
          </w:tcPr>
          <w:p w:rsidR="00CD3DBB" w:rsidRPr="006C7B09" w:rsidRDefault="00C26B86" w:rsidP="00C1276B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6C7B09">
              <w:rPr>
                <w:rFonts w:asciiTheme="majorHAnsi" w:hAnsiTheme="majorHAnsi" w:cstheme="majorHAnsi"/>
                <w:b/>
                <w:sz w:val="18"/>
                <w:szCs w:val="18"/>
              </w:rPr>
              <w:t>31</w:t>
            </w:r>
            <w:r w:rsidR="00C1276B" w:rsidRPr="006C7B09">
              <w:rPr>
                <w:rFonts w:asciiTheme="majorHAnsi" w:hAnsiTheme="majorHAnsi" w:cstheme="majorHAnsi"/>
                <w:b/>
                <w:sz w:val="18"/>
                <w:szCs w:val="18"/>
                <w:lang w:val="sr-Cyrl-RS"/>
              </w:rPr>
              <w:t>.</w:t>
            </w:r>
            <w:r w:rsidRPr="006C7B0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 w:rsidR="00C1276B" w:rsidRPr="006C7B09">
              <w:rPr>
                <w:rFonts w:asciiTheme="majorHAnsi" w:hAnsiTheme="majorHAnsi" w:cstheme="majorHAnsi"/>
                <w:b/>
                <w:sz w:val="18"/>
                <w:szCs w:val="18"/>
                <w:lang w:val="sr-Cyrl-RS"/>
              </w:rPr>
              <w:t>а</w:t>
            </w:r>
            <w:r w:rsidR="007865BD" w:rsidRPr="006C7B09">
              <w:rPr>
                <w:rFonts w:asciiTheme="majorHAnsi" w:hAnsiTheme="majorHAnsi" w:cstheme="majorHAnsi"/>
                <w:b/>
                <w:sz w:val="18"/>
                <w:szCs w:val="18"/>
                <w:lang w:val="sr-Cyrl-RS"/>
              </w:rPr>
              <w:t>вгуст</w:t>
            </w:r>
          </w:p>
        </w:tc>
        <w:tc>
          <w:tcPr>
            <w:tcW w:w="1872" w:type="dxa"/>
            <w:tcBorders>
              <w:top w:val="nil"/>
              <w:bottom w:val="single" w:sz="8" w:space="0" w:color="A8D08D" w:themeColor="accent6" w:themeTint="99"/>
            </w:tcBorders>
            <w:shd w:val="clear" w:color="auto" w:fill="E2EFD9" w:themeFill="accent6" w:themeFillTint="33"/>
            <w:vAlign w:val="center"/>
          </w:tcPr>
          <w:p w:rsidR="00CD3DBB" w:rsidRPr="006C7B09" w:rsidRDefault="00C26B86" w:rsidP="00C1276B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6C7B09">
              <w:rPr>
                <w:rFonts w:asciiTheme="majorHAnsi" w:hAnsiTheme="majorHAnsi" w:cstheme="majorHAnsi"/>
                <w:b/>
                <w:sz w:val="18"/>
                <w:szCs w:val="18"/>
              </w:rPr>
              <w:t>30</w:t>
            </w:r>
            <w:r w:rsidR="00C1276B" w:rsidRPr="006C7B09">
              <w:rPr>
                <w:rFonts w:asciiTheme="majorHAnsi" w:hAnsiTheme="majorHAnsi" w:cstheme="majorHAnsi"/>
                <w:b/>
                <w:sz w:val="18"/>
                <w:szCs w:val="18"/>
                <w:lang w:val="sr-Cyrl-RS"/>
              </w:rPr>
              <w:t>.</w:t>
            </w:r>
            <w:r w:rsidRPr="006C7B0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 w:rsidR="00C1276B" w:rsidRPr="006C7B09">
              <w:rPr>
                <w:rFonts w:asciiTheme="majorHAnsi" w:hAnsiTheme="majorHAnsi" w:cstheme="majorHAnsi"/>
                <w:b/>
                <w:sz w:val="18"/>
                <w:szCs w:val="18"/>
                <w:lang w:val="sr-Cyrl-RS"/>
              </w:rPr>
              <w:t>н</w:t>
            </w:r>
            <w:r w:rsidR="007865BD" w:rsidRPr="006C7B09">
              <w:rPr>
                <w:rFonts w:asciiTheme="majorHAnsi" w:hAnsiTheme="majorHAnsi" w:cstheme="majorHAnsi"/>
                <w:b/>
                <w:sz w:val="18"/>
                <w:szCs w:val="18"/>
                <w:lang w:val="sr-Cyrl-RS"/>
              </w:rPr>
              <w:t>овембар</w:t>
            </w:r>
          </w:p>
        </w:tc>
      </w:tr>
      <w:tr w:rsidR="00CD3DBB" w:rsidRPr="006C7B09" w:rsidTr="00D21DC9">
        <w:trPr>
          <w:jc w:val="center"/>
        </w:trPr>
        <w:tc>
          <w:tcPr>
            <w:tcW w:w="9360" w:type="dxa"/>
            <w:gridSpan w:val="5"/>
            <w:tcBorders>
              <w:top w:val="single" w:sz="8" w:space="0" w:color="A8D08D" w:themeColor="accent6" w:themeTint="99"/>
              <w:bottom w:val="single" w:sz="8" w:space="0" w:color="A8D08D" w:themeColor="accent6" w:themeTint="99"/>
            </w:tcBorders>
            <w:shd w:val="clear" w:color="auto" w:fill="C5E0B3" w:themeFill="accent6" w:themeFillTint="66"/>
            <w:vAlign w:val="center"/>
          </w:tcPr>
          <w:p w:rsidR="00CD3DBB" w:rsidRPr="006C7B09" w:rsidRDefault="00C1276B" w:rsidP="0069209E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6C7B09">
              <w:rPr>
                <w:rFonts w:asciiTheme="majorHAnsi" w:hAnsiTheme="majorHAnsi" w:cstheme="majorHAnsi"/>
                <w:b/>
                <w:sz w:val="18"/>
                <w:szCs w:val="18"/>
                <w:lang w:val="sr-Cyrl-RS"/>
              </w:rPr>
              <w:t>Оригинални</w:t>
            </w:r>
            <w:r w:rsidR="007865BD" w:rsidRPr="006C7B09">
              <w:rPr>
                <w:rFonts w:asciiTheme="majorHAnsi" w:hAnsiTheme="majorHAnsi" w:cstheme="majorHAnsi"/>
                <w:b/>
                <w:sz w:val="18"/>
                <w:szCs w:val="18"/>
                <w:lang w:val="sr-Cyrl-RS"/>
              </w:rPr>
              <w:t xml:space="preserve"> подаци </w:t>
            </w:r>
          </w:p>
        </w:tc>
      </w:tr>
      <w:tr w:rsidR="00C1276B" w:rsidRPr="006C7B09" w:rsidTr="00D21DC9">
        <w:trPr>
          <w:trHeight w:val="584"/>
          <w:jc w:val="center"/>
        </w:trPr>
        <w:tc>
          <w:tcPr>
            <w:tcW w:w="2326" w:type="dxa"/>
            <w:tcBorders>
              <w:top w:val="single" w:sz="8" w:space="0" w:color="A8D08D" w:themeColor="accent6" w:themeTint="99"/>
              <w:bottom w:val="single" w:sz="8" w:space="0" w:color="A8D08D" w:themeColor="accent6" w:themeTint="99"/>
            </w:tcBorders>
            <w:vAlign w:val="center"/>
          </w:tcPr>
          <w:p w:rsidR="00CD3DBB" w:rsidRPr="006C7B09" w:rsidRDefault="00C1276B" w:rsidP="001A4420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6C7B09">
              <w:rPr>
                <w:rFonts w:asciiTheme="majorHAnsi" w:hAnsiTheme="majorHAnsi" w:cstheme="majorHAnsi"/>
                <w:b/>
                <w:sz w:val="18"/>
                <w:szCs w:val="18"/>
                <w:lang w:val="sr-Cyrl-RS"/>
              </w:rPr>
              <w:t xml:space="preserve">Последњи </w:t>
            </w:r>
            <w:r w:rsidR="001A4420" w:rsidRPr="006C7B09">
              <w:rPr>
                <w:rFonts w:asciiTheme="majorHAnsi" w:hAnsiTheme="majorHAnsi" w:cstheme="majorHAnsi"/>
                <w:b/>
                <w:sz w:val="18"/>
                <w:szCs w:val="18"/>
                <w:lang w:val="sr-Cyrl-RS"/>
              </w:rPr>
              <w:t>квартал за који су доступни подаци</w:t>
            </w:r>
            <w:r w:rsidR="007865BD" w:rsidRPr="006C7B09">
              <w:rPr>
                <w:rFonts w:asciiTheme="majorHAnsi" w:hAnsiTheme="majorHAnsi" w:cstheme="majorHAnsi"/>
                <w:b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30" w:type="dxa"/>
            <w:tcBorders>
              <w:top w:val="single" w:sz="8" w:space="0" w:color="A8D08D" w:themeColor="accent6" w:themeTint="99"/>
              <w:bottom w:val="single" w:sz="8" w:space="0" w:color="A8D08D" w:themeColor="accent6" w:themeTint="99"/>
            </w:tcBorders>
            <w:vAlign w:val="center"/>
          </w:tcPr>
          <w:p w:rsidR="00CD3DBB" w:rsidRPr="006C7B09" w:rsidRDefault="007865BD" w:rsidP="00CD3DB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C7B09">
              <w:rPr>
                <w:rFonts w:asciiTheme="majorHAnsi" w:hAnsiTheme="majorHAnsi" w:cstheme="majorHAnsi"/>
                <w:sz w:val="18"/>
                <w:szCs w:val="18"/>
                <w:lang w:val="sr-Cyrl-RS"/>
              </w:rPr>
              <w:t xml:space="preserve">Година </w:t>
            </w:r>
            <w:r w:rsidR="00CD3DBB" w:rsidRPr="006C7B09">
              <w:rPr>
                <w:rFonts w:asciiTheme="majorHAnsi" w:hAnsiTheme="majorHAnsi" w:cstheme="majorHAnsi"/>
                <w:sz w:val="18"/>
                <w:szCs w:val="18"/>
              </w:rPr>
              <w:t xml:space="preserve"> t-1, Q4</w:t>
            </w:r>
          </w:p>
        </w:tc>
        <w:tc>
          <w:tcPr>
            <w:tcW w:w="1868" w:type="dxa"/>
            <w:tcBorders>
              <w:top w:val="single" w:sz="8" w:space="0" w:color="A8D08D" w:themeColor="accent6" w:themeTint="99"/>
              <w:bottom w:val="single" w:sz="8" w:space="0" w:color="A8D08D" w:themeColor="accent6" w:themeTint="99"/>
            </w:tcBorders>
            <w:vAlign w:val="center"/>
          </w:tcPr>
          <w:p w:rsidR="00CD3DBB" w:rsidRPr="006C7B09" w:rsidRDefault="007865BD" w:rsidP="00CD3DB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C7B09">
              <w:rPr>
                <w:rFonts w:asciiTheme="majorHAnsi" w:hAnsiTheme="majorHAnsi" w:cstheme="majorHAnsi"/>
                <w:sz w:val="18"/>
                <w:szCs w:val="18"/>
                <w:lang w:val="sr-Cyrl-RS"/>
              </w:rPr>
              <w:t>Година</w:t>
            </w:r>
            <w:r w:rsidR="00CD3DBB" w:rsidRPr="006C7B09">
              <w:rPr>
                <w:rFonts w:asciiTheme="majorHAnsi" w:hAnsiTheme="majorHAnsi" w:cstheme="majorHAnsi"/>
                <w:sz w:val="18"/>
                <w:szCs w:val="18"/>
              </w:rPr>
              <w:t xml:space="preserve"> t, Q1</w:t>
            </w:r>
          </w:p>
        </w:tc>
        <w:tc>
          <w:tcPr>
            <w:tcW w:w="1864" w:type="dxa"/>
            <w:tcBorders>
              <w:top w:val="single" w:sz="8" w:space="0" w:color="A8D08D" w:themeColor="accent6" w:themeTint="99"/>
              <w:bottom w:val="single" w:sz="8" w:space="0" w:color="A8D08D" w:themeColor="accent6" w:themeTint="99"/>
            </w:tcBorders>
            <w:vAlign w:val="center"/>
          </w:tcPr>
          <w:p w:rsidR="00CD3DBB" w:rsidRPr="006C7B09" w:rsidRDefault="007865BD" w:rsidP="00CD3DB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C7B09">
              <w:rPr>
                <w:rFonts w:asciiTheme="majorHAnsi" w:hAnsiTheme="majorHAnsi" w:cstheme="majorHAnsi"/>
                <w:sz w:val="18"/>
                <w:szCs w:val="18"/>
                <w:lang w:val="sr-Cyrl-RS"/>
              </w:rPr>
              <w:t>Година</w:t>
            </w:r>
            <w:r w:rsidR="00CD3DBB" w:rsidRPr="006C7B09">
              <w:rPr>
                <w:rFonts w:asciiTheme="majorHAnsi" w:hAnsiTheme="majorHAnsi" w:cstheme="majorHAnsi"/>
                <w:sz w:val="18"/>
                <w:szCs w:val="18"/>
              </w:rPr>
              <w:t xml:space="preserve"> t, Q2</w:t>
            </w:r>
          </w:p>
        </w:tc>
        <w:tc>
          <w:tcPr>
            <w:tcW w:w="1872" w:type="dxa"/>
            <w:tcBorders>
              <w:top w:val="single" w:sz="8" w:space="0" w:color="A8D08D" w:themeColor="accent6" w:themeTint="99"/>
              <w:bottom w:val="single" w:sz="8" w:space="0" w:color="A8D08D" w:themeColor="accent6" w:themeTint="99"/>
            </w:tcBorders>
            <w:vAlign w:val="center"/>
          </w:tcPr>
          <w:p w:rsidR="00CD3DBB" w:rsidRPr="006C7B09" w:rsidRDefault="007865BD" w:rsidP="00CD3DB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C7B09">
              <w:rPr>
                <w:rFonts w:asciiTheme="majorHAnsi" w:hAnsiTheme="majorHAnsi" w:cstheme="majorHAnsi"/>
                <w:sz w:val="18"/>
                <w:szCs w:val="18"/>
                <w:lang w:val="sr-Cyrl-RS"/>
              </w:rPr>
              <w:t xml:space="preserve">Година </w:t>
            </w:r>
            <w:r w:rsidR="00CD3DBB" w:rsidRPr="006C7B09">
              <w:rPr>
                <w:rFonts w:asciiTheme="majorHAnsi" w:hAnsiTheme="majorHAnsi" w:cstheme="majorHAnsi"/>
                <w:sz w:val="18"/>
                <w:szCs w:val="18"/>
              </w:rPr>
              <w:t xml:space="preserve"> t, Q3</w:t>
            </w:r>
          </w:p>
        </w:tc>
      </w:tr>
      <w:tr w:rsidR="001A4420" w:rsidRPr="006C7B09" w:rsidTr="00D21DC9">
        <w:trPr>
          <w:trHeight w:val="494"/>
          <w:jc w:val="center"/>
        </w:trPr>
        <w:tc>
          <w:tcPr>
            <w:tcW w:w="2326" w:type="dxa"/>
            <w:vMerge w:val="restart"/>
            <w:tcBorders>
              <w:top w:val="single" w:sz="8" w:space="0" w:color="A8D08D" w:themeColor="accent6" w:themeTint="99"/>
              <w:bottom w:val="single" w:sz="8" w:space="0" w:color="A8D08D" w:themeColor="accent6" w:themeTint="99"/>
            </w:tcBorders>
            <w:vAlign w:val="center"/>
          </w:tcPr>
          <w:p w:rsidR="001A4420" w:rsidRPr="006C7B09" w:rsidRDefault="001A4420" w:rsidP="001A4420">
            <w:pPr>
              <w:rPr>
                <w:rFonts w:asciiTheme="majorHAnsi" w:hAnsiTheme="majorHAnsi" w:cstheme="majorHAnsi"/>
                <w:b/>
                <w:sz w:val="18"/>
                <w:szCs w:val="18"/>
                <w:highlight w:val="yellow"/>
                <w:lang w:val="sr-Cyrl-RS"/>
              </w:rPr>
            </w:pPr>
            <w:r w:rsidRPr="006C7B09">
              <w:rPr>
                <w:rFonts w:asciiTheme="majorHAnsi" w:hAnsiTheme="majorHAnsi" w:cstheme="majorHAnsi"/>
                <w:b/>
                <w:sz w:val="18"/>
                <w:szCs w:val="18"/>
                <w:lang w:val="sr-Cyrl-RS"/>
              </w:rPr>
              <w:t>Дужина ревидиране временске серије (максимална)</w:t>
            </w:r>
          </w:p>
        </w:tc>
        <w:tc>
          <w:tcPr>
            <w:tcW w:w="1430" w:type="dxa"/>
            <w:tcBorders>
              <w:top w:val="single" w:sz="8" w:space="0" w:color="A8D08D" w:themeColor="accent6" w:themeTint="99"/>
              <w:bottom w:val="single" w:sz="8" w:space="0" w:color="A8D08D" w:themeColor="accent6" w:themeTint="99"/>
            </w:tcBorders>
            <w:vAlign w:val="center"/>
          </w:tcPr>
          <w:p w:rsidR="001A4420" w:rsidRPr="006C7B09" w:rsidRDefault="001A4420" w:rsidP="00C1276B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6C7B0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3 </w:t>
            </w:r>
            <w:r w:rsidRPr="006C7B09">
              <w:rPr>
                <w:rFonts w:asciiTheme="majorHAnsi" w:hAnsiTheme="majorHAnsi" w:cstheme="majorHAnsi"/>
                <w:b/>
                <w:sz w:val="18"/>
                <w:szCs w:val="18"/>
                <w:lang w:val="sr-Cyrl-RS"/>
              </w:rPr>
              <w:t>квартала</w:t>
            </w:r>
          </w:p>
        </w:tc>
        <w:tc>
          <w:tcPr>
            <w:tcW w:w="1868" w:type="dxa"/>
            <w:tcBorders>
              <w:top w:val="single" w:sz="8" w:space="0" w:color="A8D08D" w:themeColor="accent6" w:themeTint="99"/>
              <w:bottom w:val="single" w:sz="8" w:space="0" w:color="A8D08D" w:themeColor="accent6" w:themeTint="99"/>
            </w:tcBorders>
            <w:vAlign w:val="center"/>
          </w:tcPr>
          <w:p w:rsidR="001A4420" w:rsidRPr="006C7B09" w:rsidRDefault="001A4420" w:rsidP="00C1276B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6C7B0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8 </w:t>
            </w:r>
            <w:r w:rsidRPr="006C7B09">
              <w:rPr>
                <w:rFonts w:asciiTheme="majorHAnsi" w:hAnsiTheme="majorHAnsi" w:cstheme="majorHAnsi"/>
                <w:b/>
                <w:sz w:val="18"/>
                <w:szCs w:val="18"/>
                <w:lang w:val="sr-Cyrl-RS"/>
              </w:rPr>
              <w:t>квартала</w:t>
            </w:r>
          </w:p>
        </w:tc>
        <w:tc>
          <w:tcPr>
            <w:tcW w:w="1864" w:type="dxa"/>
            <w:tcBorders>
              <w:top w:val="single" w:sz="8" w:space="0" w:color="A8D08D" w:themeColor="accent6" w:themeTint="99"/>
              <w:bottom w:val="single" w:sz="8" w:space="0" w:color="A8D08D" w:themeColor="accent6" w:themeTint="99"/>
            </w:tcBorders>
            <w:vAlign w:val="center"/>
          </w:tcPr>
          <w:p w:rsidR="001A4420" w:rsidRPr="006C7B09" w:rsidRDefault="001A4420" w:rsidP="00C1276B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6C7B0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1 </w:t>
            </w:r>
            <w:r w:rsidRPr="006C7B09">
              <w:rPr>
                <w:rFonts w:asciiTheme="majorHAnsi" w:hAnsiTheme="majorHAnsi" w:cstheme="majorHAnsi"/>
                <w:b/>
                <w:sz w:val="18"/>
                <w:szCs w:val="18"/>
                <w:lang w:val="sr-Cyrl-RS"/>
              </w:rPr>
              <w:t>квартал</w:t>
            </w:r>
          </w:p>
        </w:tc>
        <w:tc>
          <w:tcPr>
            <w:tcW w:w="1872" w:type="dxa"/>
            <w:tcBorders>
              <w:top w:val="single" w:sz="8" w:space="0" w:color="A8D08D" w:themeColor="accent6" w:themeTint="99"/>
              <w:bottom w:val="single" w:sz="8" w:space="0" w:color="A8D08D" w:themeColor="accent6" w:themeTint="99"/>
            </w:tcBorders>
            <w:vAlign w:val="center"/>
          </w:tcPr>
          <w:p w:rsidR="001A4420" w:rsidRPr="006C7B09" w:rsidRDefault="001A4420" w:rsidP="00C1276B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6C7B0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10 </w:t>
            </w:r>
            <w:r w:rsidRPr="006C7B09">
              <w:rPr>
                <w:rFonts w:asciiTheme="majorHAnsi" w:hAnsiTheme="majorHAnsi" w:cstheme="majorHAnsi"/>
                <w:b/>
                <w:sz w:val="18"/>
                <w:szCs w:val="18"/>
                <w:lang w:val="sr-Cyrl-RS"/>
              </w:rPr>
              <w:t>квартала</w:t>
            </w:r>
          </w:p>
        </w:tc>
      </w:tr>
      <w:tr w:rsidR="001A4420" w:rsidRPr="006C7B09" w:rsidTr="00D21DC9">
        <w:trPr>
          <w:trHeight w:val="1007"/>
          <w:jc w:val="center"/>
        </w:trPr>
        <w:tc>
          <w:tcPr>
            <w:tcW w:w="2326" w:type="dxa"/>
            <w:vMerge/>
            <w:tcBorders>
              <w:top w:val="single" w:sz="8" w:space="0" w:color="A8D08D" w:themeColor="accent6" w:themeTint="99"/>
              <w:bottom w:val="single" w:sz="8" w:space="0" w:color="A8D08D" w:themeColor="accent6" w:themeTint="99"/>
            </w:tcBorders>
            <w:vAlign w:val="center"/>
          </w:tcPr>
          <w:p w:rsidR="001A4420" w:rsidRPr="006C7B09" w:rsidRDefault="001A4420" w:rsidP="001A4420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8" w:space="0" w:color="A8D08D" w:themeColor="accent6" w:themeTint="99"/>
              <w:bottom w:val="single" w:sz="8" w:space="0" w:color="A8D08D" w:themeColor="accent6" w:themeTint="99"/>
            </w:tcBorders>
            <w:vAlign w:val="center"/>
          </w:tcPr>
          <w:p w:rsidR="001A4420" w:rsidRPr="006C7B09" w:rsidRDefault="001A4420" w:rsidP="00C1276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C7B09">
              <w:rPr>
                <w:rFonts w:asciiTheme="majorHAnsi" w:hAnsiTheme="majorHAnsi" w:cstheme="majorHAnsi"/>
                <w:sz w:val="18"/>
                <w:szCs w:val="18"/>
                <w:lang w:val="sr-Cyrl-RS"/>
              </w:rPr>
              <w:t>година</w:t>
            </w:r>
            <w:r w:rsidRPr="006C7B09">
              <w:rPr>
                <w:rFonts w:asciiTheme="majorHAnsi" w:hAnsiTheme="majorHAnsi" w:cstheme="majorHAnsi"/>
                <w:sz w:val="18"/>
                <w:szCs w:val="18"/>
              </w:rPr>
              <w:t xml:space="preserve"> t-1,</w:t>
            </w:r>
          </w:p>
          <w:p w:rsidR="001A4420" w:rsidRPr="006C7B09" w:rsidRDefault="001A4420" w:rsidP="001A442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C7B09">
              <w:rPr>
                <w:rFonts w:asciiTheme="majorHAnsi" w:hAnsiTheme="majorHAnsi" w:cstheme="majorHAnsi"/>
                <w:sz w:val="18"/>
                <w:szCs w:val="18"/>
              </w:rPr>
              <w:t>Q1-Q3</w:t>
            </w:r>
          </w:p>
        </w:tc>
        <w:tc>
          <w:tcPr>
            <w:tcW w:w="1868" w:type="dxa"/>
            <w:tcBorders>
              <w:top w:val="single" w:sz="8" w:space="0" w:color="A8D08D" w:themeColor="accent6" w:themeTint="99"/>
              <w:bottom w:val="single" w:sz="8" w:space="0" w:color="A8D08D" w:themeColor="accent6" w:themeTint="99"/>
            </w:tcBorders>
            <w:vAlign w:val="center"/>
          </w:tcPr>
          <w:p w:rsidR="001A4420" w:rsidRPr="006C7B09" w:rsidRDefault="001A4420" w:rsidP="00CD3DB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C7B09">
              <w:rPr>
                <w:rFonts w:asciiTheme="majorHAnsi" w:hAnsiTheme="majorHAnsi" w:cstheme="majorHAnsi"/>
                <w:sz w:val="18"/>
                <w:szCs w:val="18"/>
                <w:lang w:val="sr-Cyrl-RS"/>
              </w:rPr>
              <w:t xml:space="preserve">година </w:t>
            </w:r>
            <w:r w:rsidRPr="006C7B09">
              <w:rPr>
                <w:rFonts w:asciiTheme="majorHAnsi" w:hAnsiTheme="majorHAnsi" w:cstheme="majorHAnsi"/>
                <w:sz w:val="18"/>
                <w:szCs w:val="18"/>
              </w:rPr>
              <w:t>t-1, Q1–Q4</w:t>
            </w:r>
          </w:p>
          <w:p w:rsidR="001A4420" w:rsidRPr="006C7B09" w:rsidRDefault="001A4420" w:rsidP="007248F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C7B09">
              <w:rPr>
                <w:rFonts w:asciiTheme="majorHAnsi" w:hAnsiTheme="majorHAnsi" w:cstheme="majorHAnsi"/>
                <w:sz w:val="18"/>
                <w:szCs w:val="18"/>
                <w:lang w:val="sr-Cyrl-RS"/>
              </w:rPr>
              <w:t>година</w:t>
            </w:r>
            <w:r w:rsidRPr="006C7B09">
              <w:rPr>
                <w:rFonts w:asciiTheme="majorHAnsi" w:hAnsiTheme="majorHAnsi" w:cstheme="majorHAnsi"/>
                <w:sz w:val="18"/>
                <w:szCs w:val="18"/>
              </w:rPr>
              <w:t xml:space="preserve"> t-2, Q1–Q4</w:t>
            </w:r>
          </w:p>
        </w:tc>
        <w:tc>
          <w:tcPr>
            <w:tcW w:w="1864" w:type="dxa"/>
            <w:tcBorders>
              <w:top w:val="single" w:sz="8" w:space="0" w:color="A8D08D" w:themeColor="accent6" w:themeTint="99"/>
              <w:bottom w:val="single" w:sz="8" w:space="0" w:color="A8D08D" w:themeColor="accent6" w:themeTint="99"/>
            </w:tcBorders>
            <w:vAlign w:val="center"/>
          </w:tcPr>
          <w:p w:rsidR="001A4420" w:rsidRPr="006C7B09" w:rsidRDefault="001A4420" w:rsidP="007248F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C7B09">
              <w:rPr>
                <w:rFonts w:asciiTheme="majorHAnsi" w:hAnsiTheme="majorHAnsi" w:cstheme="majorHAnsi"/>
                <w:sz w:val="18"/>
                <w:szCs w:val="18"/>
                <w:lang w:val="sr-Cyrl-RS"/>
              </w:rPr>
              <w:t>година</w:t>
            </w:r>
            <w:r w:rsidRPr="006C7B09">
              <w:rPr>
                <w:rFonts w:asciiTheme="majorHAnsi" w:hAnsiTheme="majorHAnsi" w:cstheme="majorHAnsi"/>
                <w:sz w:val="18"/>
                <w:szCs w:val="18"/>
              </w:rPr>
              <w:t xml:space="preserve"> t, Q1</w:t>
            </w:r>
          </w:p>
        </w:tc>
        <w:tc>
          <w:tcPr>
            <w:tcW w:w="1872" w:type="dxa"/>
            <w:tcBorders>
              <w:top w:val="single" w:sz="8" w:space="0" w:color="A8D08D" w:themeColor="accent6" w:themeTint="99"/>
              <w:bottom w:val="single" w:sz="8" w:space="0" w:color="A8D08D" w:themeColor="accent6" w:themeTint="99"/>
            </w:tcBorders>
            <w:vAlign w:val="center"/>
          </w:tcPr>
          <w:p w:rsidR="001A4420" w:rsidRPr="006C7B09" w:rsidRDefault="001A4420" w:rsidP="00CD3DB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C7B09">
              <w:rPr>
                <w:rFonts w:asciiTheme="majorHAnsi" w:hAnsiTheme="majorHAnsi" w:cstheme="majorHAnsi"/>
                <w:sz w:val="18"/>
                <w:szCs w:val="18"/>
                <w:lang w:val="sr-Cyrl-RS"/>
              </w:rPr>
              <w:t>година</w:t>
            </w:r>
            <w:r w:rsidRPr="006C7B09">
              <w:rPr>
                <w:rFonts w:asciiTheme="majorHAnsi" w:hAnsiTheme="majorHAnsi" w:cstheme="majorHAnsi"/>
                <w:sz w:val="18"/>
                <w:szCs w:val="18"/>
              </w:rPr>
              <w:t xml:space="preserve"> t, Q1–Q2</w:t>
            </w:r>
          </w:p>
          <w:p w:rsidR="001A4420" w:rsidRPr="006C7B09" w:rsidRDefault="001A4420" w:rsidP="00CD3DB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C7B09">
              <w:rPr>
                <w:rFonts w:asciiTheme="majorHAnsi" w:hAnsiTheme="majorHAnsi" w:cstheme="majorHAnsi"/>
                <w:sz w:val="18"/>
                <w:szCs w:val="18"/>
                <w:lang w:val="sr-Cyrl-RS"/>
              </w:rPr>
              <w:t xml:space="preserve">година </w:t>
            </w:r>
            <w:r w:rsidRPr="006C7B09">
              <w:rPr>
                <w:rFonts w:asciiTheme="majorHAnsi" w:hAnsiTheme="majorHAnsi" w:cstheme="majorHAnsi"/>
                <w:sz w:val="18"/>
                <w:szCs w:val="18"/>
              </w:rPr>
              <w:t>t-1, Q1–Q4</w:t>
            </w:r>
          </w:p>
          <w:p w:rsidR="001A4420" w:rsidRPr="006C7B09" w:rsidRDefault="001A4420" w:rsidP="001E0B5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C7B09">
              <w:rPr>
                <w:rFonts w:asciiTheme="majorHAnsi" w:hAnsiTheme="majorHAnsi" w:cstheme="majorHAnsi"/>
                <w:sz w:val="18"/>
                <w:szCs w:val="18"/>
                <w:lang w:val="sr-Cyrl-RS"/>
              </w:rPr>
              <w:t>година</w:t>
            </w:r>
            <w:r w:rsidRPr="006C7B09">
              <w:rPr>
                <w:rFonts w:asciiTheme="majorHAnsi" w:hAnsiTheme="majorHAnsi" w:cstheme="majorHAnsi"/>
                <w:sz w:val="18"/>
                <w:szCs w:val="18"/>
              </w:rPr>
              <w:t xml:space="preserve"> t-2, Q1–Q4</w:t>
            </w:r>
          </w:p>
        </w:tc>
      </w:tr>
      <w:tr w:rsidR="0069209E" w:rsidRPr="006C7B09" w:rsidTr="00D21DC9">
        <w:trPr>
          <w:trHeight w:val="242"/>
          <w:jc w:val="center"/>
        </w:trPr>
        <w:tc>
          <w:tcPr>
            <w:tcW w:w="9360" w:type="dxa"/>
            <w:gridSpan w:val="5"/>
            <w:tcBorders>
              <w:top w:val="single" w:sz="8" w:space="0" w:color="A8D08D" w:themeColor="accent6" w:themeTint="99"/>
              <w:bottom w:val="single" w:sz="8" w:space="0" w:color="A8D08D" w:themeColor="accent6" w:themeTint="99"/>
            </w:tcBorders>
            <w:shd w:val="clear" w:color="auto" w:fill="C5E0B3" w:themeFill="accent6" w:themeFillTint="66"/>
            <w:vAlign w:val="center"/>
          </w:tcPr>
          <w:p w:rsidR="0069209E" w:rsidRPr="006C7B09" w:rsidRDefault="00612BCA" w:rsidP="001E0B5E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6C7B09">
              <w:rPr>
                <w:rFonts w:asciiTheme="majorHAnsi" w:hAnsiTheme="majorHAnsi" w:cstheme="majorHAnsi"/>
                <w:b/>
                <w:sz w:val="18"/>
                <w:szCs w:val="18"/>
                <w:lang w:val="sr-Cyrl-RS"/>
              </w:rPr>
              <w:t>Десезонирани подаци</w:t>
            </w:r>
          </w:p>
        </w:tc>
      </w:tr>
      <w:tr w:rsidR="007865BD" w:rsidRPr="006C7B09" w:rsidTr="00D21DC9">
        <w:trPr>
          <w:jc w:val="center"/>
        </w:trPr>
        <w:tc>
          <w:tcPr>
            <w:tcW w:w="2326" w:type="dxa"/>
            <w:tcBorders>
              <w:top w:val="single" w:sz="8" w:space="0" w:color="A8D08D" w:themeColor="accent6" w:themeTint="99"/>
              <w:bottom w:val="single" w:sz="8" w:space="0" w:color="000000" w:themeColor="text1"/>
            </w:tcBorders>
            <w:vAlign w:val="center"/>
          </w:tcPr>
          <w:p w:rsidR="0069209E" w:rsidRPr="006C7B09" w:rsidRDefault="001E0B5E" w:rsidP="0069209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6C7B09">
              <w:rPr>
                <w:rFonts w:asciiTheme="majorHAnsi" w:hAnsiTheme="majorHAnsi" w:cstheme="majorHAnsi"/>
                <w:b/>
                <w:sz w:val="18"/>
                <w:szCs w:val="18"/>
                <w:lang w:val="sr-Cyrl-RS"/>
              </w:rPr>
              <w:t>Дужина ревидиране временске серије (максимална)</w:t>
            </w:r>
          </w:p>
        </w:tc>
        <w:tc>
          <w:tcPr>
            <w:tcW w:w="7034" w:type="dxa"/>
            <w:gridSpan w:val="4"/>
            <w:tcBorders>
              <w:top w:val="single" w:sz="8" w:space="0" w:color="A8D08D" w:themeColor="accent6" w:themeTint="99"/>
              <w:bottom w:val="single" w:sz="8" w:space="0" w:color="000000" w:themeColor="text1"/>
            </w:tcBorders>
            <w:vAlign w:val="center"/>
          </w:tcPr>
          <w:p w:rsidR="0069209E" w:rsidRPr="006C7B09" w:rsidRDefault="00612BCA" w:rsidP="00F3220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C7B09">
              <w:rPr>
                <w:rFonts w:asciiTheme="majorHAnsi" w:hAnsiTheme="majorHAnsi" w:cstheme="majorHAnsi"/>
                <w:b/>
                <w:sz w:val="18"/>
                <w:szCs w:val="18"/>
                <w:lang w:val="sr-Cyrl-RS"/>
              </w:rPr>
              <w:t xml:space="preserve">Цела временска серија </w:t>
            </w:r>
          </w:p>
        </w:tc>
      </w:tr>
    </w:tbl>
    <w:p w:rsidR="004560A2" w:rsidRPr="006C7B09" w:rsidRDefault="004560A2" w:rsidP="005C4ABB">
      <w:pPr>
        <w:spacing w:after="0" w:line="276" w:lineRule="auto"/>
        <w:rPr>
          <w:rFonts w:asciiTheme="majorHAnsi" w:eastAsiaTheme="minorHAnsi" w:hAnsiTheme="majorHAnsi" w:cstheme="majorHAnsi"/>
          <w:b/>
          <w:bCs/>
          <w:sz w:val="20"/>
          <w:szCs w:val="20"/>
        </w:rPr>
      </w:pPr>
    </w:p>
    <w:p w:rsidR="00AD35A4" w:rsidRDefault="00F32202" w:rsidP="005C4ABB">
      <w:pPr>
        <w:spacing w:after="0" w:line="276" w:lineRule="auto"/>
        <w:jc w:val="both"/>
        <w:rPr>
          <w:rFonts w:asciiTheme="majorHAnsi" w:eastAsiaTheme="minorHAnsi" w:hAnsiTheme="majorHAnsi" w:cstheme="majorHAnsi"/>
          <w:sz w:val="20"/>
          <w:szCs w:val="20"/>
          <w:lang w:val="sr-Cyrl-RS"/>
        </w:rPr>
      </w:pPr>
      <w:r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Подаци за </w:t>
      </w:r>
      <w:r w:rsidR="00AD7632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прва три </w:t>
      </w:r>
      <w:r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>квартал</w:t>
      </w:r>
      <w:r w:rsidR="00AD7632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>а</w:t>
      </w:r>
      <w:r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 текуће године </w:t>
      </w:r>
      <w:r w:rsidR="00AD7632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подложни су </w:t>
      </w:r>
      <w:r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>реви</w:t>
      </w:r>
      <w:r w:rsidR="00AD7632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зијама </w:t>
      </w:r>
      <w:r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до </w:t>
      </w:r>
      <w:r w:rsidR="00AD7632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момента </w:t>
      </w:r>
      <w:r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објављивања података </w:t>
      </w:r>
      <w:r w:rsidR="00AD7632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за четврти </w:t>
      </w:r>
      <w:r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>квартал</w:t>
      </w:r>
      <w:r w:rsidR="00AD7632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 текуће године</w:t>
      </w:r>
      <w:r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: заједно са подацима </w:t>
      </w:r>
      <w:r w:rsidR="00AD7632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за </w:t>
      </w:r>
      <w:r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>друг</w:t>
      </w:r>
      <w:r w:rsidR="00AD7632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>и</w:t>
      </w:r>
      <w:r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 квартал објављују се ревидирани подаци за први квартал, заједно са подацима </w:t>
      </w:r>
      <w:r w:rsidR="00AD7632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за </w:t>
      </w:r>
      <w:r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>трећ</w:t>
      </w:r>
      <w:r w:rsidR="003B223E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>и</w:t>
      </w:r>
      <w:r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 квартал, </w:t>
      </w:r>
      <w:r w:rsidR="00AD7632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објављују се </w:t>
      </w:r>
      <w:r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>ревидирани подаци за први и други квартал</w:t>
      </w:r>
      <w:r w:rsidR="00AD7632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>,</w:t>
      </w:r>
      <w:r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 заједно са подацима за четврт</w:t>
      </w:r>
      <w:r w:rsidR="003B223E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>и квартал</w:t>
      </w:r>
      <w:r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>, објављ</w:t>
      </w:r>
      <w:r w:rsidR="003B223E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>ују се</w:t>
      </w:r>
      <w:r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 ревидирани подаци за прв</w:t>
      </w:r>
      <w:r w:rsidR="003B223E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>и</w:t>
      </w:r>
      <w:r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>, друг</w:t>
      </w:r>
      <w:r w:rsidR="003B223E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>и</w:t>
      </w:r>
      <w:r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 и трећ</w:t>
      </w:r>
      <w:r w:rsidR="003B223E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>и</w:t>
      </w:r>
      <w:r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 </w:t>
      </w:r>
      <w:r w:rsidR="003B223E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>квартал</w:t>
      </w:r>
      <w:r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. Након објављивања података </w:t>
      </w:r>
      <w:r w:rsidR="003B223E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>за</w:t>
      </w:r>
      <w:r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 четврт</w:t>
      </w:r>
      <w:r w:rsidR="003B223E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>и</w:t>
      </w:r>
      <w:r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 квартал, квартални </w:t>
      </w:r>
      <w:r w:rsidR="003B223E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>подаци</w:t>
      </w:r>
      <w:r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 се ревидирају само због усаглашавања са годишњи</w:t>
      </w:r>
      <w:r w:rsidR="003B223E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>м</w:t>
      </w:r>
      <w:r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 </w:t>
      </w:r>
      <w:r w:rsidR="003B223E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>подацима</w:t>
      </w:r>
      <w:r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>.</w:t>
      </w:r>
    </w:p>
    <w:p w:rsidR="00AD35A4" w:rsidRDefault="00AD35A4" w:rsidP="005C4ABB">
      <w:pPr>
        <w:spacing w:after="0" w:line="276" w:lineRule="auto"/>
        <w:jc w:val="both"/>
        <w:rPr>
          <w:rFonts w:asciiTheme="majorHAnsi" w:eastAsiaTheme="minorHAnsi" w:hAnsiTheme="majorHAnsi" w:cstheme="majorHAnsi"/>
          <w:sz w:val="20"/>
          <w:szCs w:val="20"/>
          <w:lang w:val="sr-Cyrl-RS"/>
        </w:rPr>
      </w:pPr>
    </w:p>
    <w:p w:rsidR="00F32202" w:rsidRPr="006C7B09" w:rsidRDefault="00F32202" w:rsidP="005C4ABB">
      <w:pPr>
        <w:spacing w:after="0" w:line="276" w:lineRule="auto"/>
        <w:jc w:val="both"/>
        <w:rPr>
          <w:rFonts w:asciiTheme="majorHAnsi" w:eastAsiaTheme="minorHAnsi" w:hAnsiTheme="majorHAnsi" w:cstheme="majorHAnsi"/>
          <w:sz w:val="20"/>
          <w:szCs w:val="20"/>
          <w:lang w:val="sr-Cyrl-RS"/>
        </w:rPr>
      </w:pPr>
      <w:r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Прва ревизија кварталних података због усаглашавања са </w:t>
      </w:r>
      <w:r w:rsidR="004A6443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годишњим </w:t>
      </w:r>
      <w:r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подацима </w:t>
      </w:r>
      <w:r w:rsidR="00A37A29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спроводи се </w:t>
      </w:r>
      <w:r w:rsidR="004A6443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када постану </w:t>
      </w:r>
      <w:r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>расположиви</w:t>
      </w:r>
      <w:r w:rsidR="004A6443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 годишњи подаци, добијени </w:t>
      </w:r>
      <w:r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као </w:t>
      </w:r>
      <w:r w:rsidR="004A6443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>сума</w:t>
      </w:r>
      <w:r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 четири квартал</w:t>
      </w:r>
      <w:r w:rsidR="004A6443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>не вредности</w:t>
      </w:r>
      <w:r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; друга ревизија врши </w:t>
      </w:r>
      <w:r w:rsidR="004A6443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се </w:t>
      </w:r>
      <w:r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када постану доступни </w:t>
      </w:r>
      <w:r w:rsidR="004A6443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>резултати годишњих обрачуна (</w:t>
      </w:r>
      <w:r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>пре</w:t>
      </w:r>
      <w:r w:rsidR="004A6443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тходни </w:t>
      </w:r>
      <w:r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>пода</w:t>
      </w:r>
      <w:r w:rsidR="004A6443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>ци)</w:t>
      </w:r>
      <w:r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, а трећа када се </w:t>
      </w:r>
      <w:r w:rsidR="004A6443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>објаве</w:t>
      </w:r>
      <w:r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 </w:t>
      </w:r>
      <w:r w:rsidR="004A6443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>ф</w:t>
      </w:r>
      <w:r w:rsidR="005C29BA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>инални годишњи</w:t>
      </w:r>
      <w:r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 подаци. У овим случајевима ревидирају се </w:t>
      </w:r>
      <w:r w:rsidR="003F1EB0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>квартални</w:t>
      </w:r>
      <w:r w:rsidR="00A37A29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 подаци</w:t>
      </w:r>
      <w:r w:rsidR="003F1EB0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 </w:t>
      </w:r>
      <w:r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текуће и претходне </w:t>
      </w:r>
      <w:r w:rsidR="003F1EB0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>две г</w:t>
      </w:r>
      <w:r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одине. Изузетак су </w:t>
      </w:r>
      <w:r w:rsidR="003F1EB0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>де</w:t>
      </w:r>
      <w:r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>сезони</w:t>
      </w:r>
      <w:r w:rsidR="003F1EB0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>рани</w:t>
      </w:r>
      <w:r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 </w:t>
      </w:r>
      <w:r w:rsidR="003F1EB0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>по</w:t>
      </w:r>
      <w:r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>даци</w:t>
      </w:r>
      <w:r w:rsidR="003F1EB0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, код којих се </w:t>
      </w:r>
      <w:r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>ревидира</w:t>
      </w:r>
      <w:r w:rsidR="003F1EB0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ју вредности целе </w:t>
      </w:r>
      <w:r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>временске серије</w:t>
      </w:r>
      <w:r w:rsidR="003F1EB0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>.</w:t>
      </w:r>
    </w:p>
    <w:p w:rsidR="0076015D" w:rsidRPr="006C7B09" w:rsidRDefault="0076015D" w:rsidP="00286904">
      <w:pPr>
        <w:spacing w:line="276" w:lineRule="auto"/>
        <w:jc w:val="center"/>
        <w:rPr>
          <w:rFonts w:asciiTheme="majorHAnsi" w:hAnsiTheme="majorHAnsi" w:cstheme="majorHAnsi"/>
          <w:b/>
          <w:sz w:val="20"/>
          <w:szCs w:val="20"/>
          <w:lang w:val="sr-Cyrl-RS"/>
        </w:rPr>
      </w:pPr>
    </w:p>
    <w:p w:rsidR="004560A2" w:rsidRPr="006C7B09" w:rsidRDefault="001A4420" w:rsidP="00286904">
      <w:pPr>
        <w:spacing w:line="276" w:lineRule="auto"/>
        <w:jc w:val="center"/>
        <w:rPr>
          <w:rFonts w:asciiTheme="majorHAnsi" w:eastAsiaTheme="minorHAnsi" w:hAnsiTheme="majorHAnsi" w:cstheme="majorHAnsi"/>
          <w:b/>
          <w:bCs/>
          <w:sz w:val="20"/>
          <w:szCs w:val="20"/>
        </w:rPr>
      </w:pPr>
      <w:r w:rsidRPr="006C7B09">
        <w:rPr>
          <w:rFonts w:asciiTheme="majorHAnsi" w:hAnsiTheme="majorHAnsi" w:cstheme="majorHAnsi"/>
          <w:b/>
          <w:sz w:val="20"/>
          <w:szCs w:val="20"/>
          <w:lang w:val="sr-Cyrl-RS"/>
        </w:rPr>
        <w:lastRenderedPageBreak/>
        <w:t>Основни агрегати н</w:t>
      </w:r>
      <w:r w:rsidR="00612BCA" w:rsidRPr="006C7B09">
        <w:rPr>
          <w:rFonts w:asciiTheme="majorHAnsi" w:hAnsiTheme="majorHAnsi" w:cstheme="majorHAnsi"/>
          <w:b/>
          <w:sz w:val="20"/>
          <w:szCs w:val="20"/>
          <w:lang w:val="sr-Cyrl-RS"/>
        </w:rPr>
        <w:t>ационални</w:t>
      </w:r>
      <w:r w:rsidRPr="006C7B09">
        <w:rPr>
          <w:rFonts w:asciiTheme="majorHAnsi" w:hAnsiTheme="majorHAnsi" w:cstheme="majorHAnsi"/>
          <w:b/>
          <w:sz w:val="20"/>
          <w:szCs w:val="20"/>
          <w:lang w:val="sr-Cyrl-RS"/>
        </w:rPr>
        <w:t>х</w:t>
      </w:r>
      <w:r w:rsidR="00612BCA" w:rsidRPr="006C7B09">
        <w:rPr>
          <w:rFonts w:asciiTheme="majorHAnsi" w:hAnsiTheme="majorHAnsi" w:cstheme="majorHAnsi"/>
          <w:b/>
          <w:sz w:val="20"/>
          <w:szCs w:val="20"/>
          <w:lang w:val="sr-Cyrl-RS"/>
        </w:rPr>
        <w:t xml:space="preserve"> рачун</w:t>
      </w:r>
      <w:r w:rsidRPr="006C7B09">
        <w:rPr>
          <w:rFonts w:asciiTheme="majorHAnsi" w:hAnsiTheme="majorHAnsi" w:cstheme="majorHAnsi"/>
          <w:b/>
          <w:sz w:val="20"/>
          <w:szCs w:val="20"/>
          <w:lang w:val="sr-Cyrl-RS"/>
        </w:rPr>
        <w:t>а</w:t>
      </w:r>
      <w:r w:rsidR="00612BCA" w:rsidRPr="006C7B09">
        <w:rPr>
          <w:rFonts w:asciiTheme="majorHAnsi" w:hAnsiTheme="majorHAnsi" w:cstheme="majorHAnsi"/>
          <w:b/>
          <w:sz w:val="20"/>
          <w:szCs w:val="20"/>
          <w:lang w:val="sr-Cyrl-RS"/>
        </w:rPr>
        <w:t>, годишњи подаци</w:t>
      </w:r>
    </w:p>
    <w:tbl>
      <w:tblPr>
        <w:tblStyle w:val="TableGrid1"/>
        <w:tblW w:w="0" w:type="auto"/>
        <w:jc w:val="center"/>
        <w:tblBorders>
          <w:top w:val="single" w:sz="8" w:space="0" w:color="000000" w:themeColor="text1"/>
          <w:left w:val="none" w:sz="0" w:space="0" w:color="auto"/>
          <w:bottom w:val="single" w:sz="8" w:space="0" w:color="000000" w:themeColor="text1"/>
          <w:right w:val="none" w:sz="0" w:space="0" w:color="auto"/>
          <w:insideH w:val="single" w:sz="8" w:space="0" w:color="A8D08D" w:themeColor="accent6" w:themeTint="9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5"/>
        <w:gridCol w:w="1569"/>
        <w:gridCol w:w="1894"/>
      </w:tblGrid>
      <w:tr w:rsidR="004560A2" w:rsidRPr="006C7B09" w:rsidTr="00DA595F">
        <w:trPr>
          <w:trHeight w:val="416"/>
          <w:jc w:val="center"/>
        </w:trPr>
        <w:tc>
          <w:tcPr>
            <w:tcW w:w="2305" w:type="dxa"/>
            <w:shd w:val="clear" w:color="auto" w:fill="E2EFD9" w:themeFill="accent6" w:themeFillTint="33"/>
            <w:vAlign w:val="center"/>
          </w:tcPr>
          <w:p w:rsidR="004560A2" w:rsidRPr="006C7B09" w:rsidRDefault="004560A2" w:rsidP="008A3384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3463" w:type="dxa"/>
            <w:gridSpan w:val="2"/>
            <w:shd w:val="clear" w:color="auto" w:fill="E2EFD9" w:themeFill="accent6" w:themeFillTint="33"/>
            <w:vAlign w:val="center"/>
          </w:tcPr>
          <w:p w:rsidR="004560A2" w:rsidRPr="006C7B09" w:rsidRDefault="00612BCA" w:rsidP="001A4420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6C7B09">
              <w:rPr>
                <w:rFonts w:asciiTheme="majorHAnsi" w:hAnsiTheme="majorHAnsi" w:cstheme="majorHAnsi"/>
                <w:b/>
                <w:sz w:val="18"/>
                <w:szCs w:val="18"/>
                <w:lang w:val="sr-Cyrl-RS"/>
              </w:rPr>
              <w:t xml:space="preserve">Датум </w:t>
            </w:r>
            <w:r w:rsidR="001A4420" w:rsidRPr="006C7B09">
              <w:rPr>
                <w:rFonts w:asciiTheme="majorHAnsi" w:hAnsiTheme="majorHAnsi" w:cstheme="majorHAnsi"/>
                <w:b/>
                <w:sz w:val="18"/>
                <w:szCs w:val="18"/>
                <w:lang w:val="sr-Cyrl-RS"/>
              </w:rPr>
              <w:t>публиковања</w:t>
            </w:r>
          </w:p>
        </w:tc>
      </w:tr>
      <w:tr w:rsidR="00C26B86" w:rsidRPr="006C7B09" w:rsidTr="00DA595F">
        <w:trPr>
          <w:trHeight w:val="378"/>
          <w:jc w:val="center"/>
        </w:trPr>
        <w:tc>
          <w:tcPr>
            <w:tcW w:w="2305" w:type="dxa"/>
            <w:shd w:val="clear" w:color="auto" w:fill="E2EFD9" w:themeFill="accent6" w:themeFillTint="33"/>
            <w:vAlign w:val="center"/>
          </w:tcPr>
          <w:p w:rsidR="00C26B86" w:rsidRPr="006C7B09" w:rsidRDefault="00612BCA" w:rsidP="008A3384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6C7B09">
              <w:rPr>
                <w:rFonts w:asciiTheme="majorHAnsi" w:hAnsiTheme="majorHAnsi" w:cstheme="majorHAnsi"/>
                <w:b/>
                <w:sz w:val="18"/>
                <w:szCs w:val="18"/>
                <w:lang w:val="sr-Cyrl-RS"/>
              </w:rPr>
              <w:t>Година</w:t>
            </w:r>
            <w:r w:rsidR="00C26B86" w:rsidRPr="006C7B0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t</w:t>
            </w:r>
          </w:p>
        </w:tc>
        <w:tc>
          <w:tcPr>
            <w:tcW w:w="1569" w:type="dxa"/>
            <w:shd w:val="clear" w:color="auto" w:fill="E2EFD9" w:themeFill="accent6" w:themeFillTint="33"/>
            <w:vAlign w:val="center"/>
          </w:tcPr>
          <w:p w:rsidR="00C26B86" w:rsidRPr="006C7B09" w:rsidRDefault="00C26B86" w:rsidP="001A4420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6C7B0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28/29</w:t>
            </w:r>
            <w:r w:rsidR="001A4420" w:rsidRPr="006C7B09">
              <w:rPr>
                <w:rFonts w:asciiTheme="majorHAnsi" w:hAnsiTheme="majorHAnsi" w:cstheme="majorHAnsi"/>
                <w:b/>
                <w:sz w:val="18"/>
                <w:szCs w:val="18"/>
                <w:lang w:val="sr-Cyrl-RS"/>
              </w:rPr>
              <w:t>.</w:t>
            </w:r>
            <w:r w:rsidRPr="006C7B0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 w:rsidR="001A4420" w:rsidRPr="006C7B09">
              <w:rPr>
                <w:rFonts w:asciiTheme="majorHAnsi" w:hAnsiTheme="majorHAnsi" w:cstheme="majorHAnsi"/>
                <w:b/>
                <w:sz w:val="18"/>
                <w:szCs w:val="18"/>
                <w:lang w:val="sr-Cyrl-RS"/>
              </w:rPr>
              <w:t>ф</w:t>
            </w:r>
            <w:r w:rsidR="00612BCA" w:rsidRPr="006C7B09">
              <w:rPr>
                <w:rFonts w:asciiTheme="majorHAnsi" w:hAnsiTheme="majorHAnsi" w:cstheme="majorHAnsi"/>
                <w:b/>
                <w:sz w:val="18"/>
                <w:szCs w:val="18"/>
                <w:lang w:val="sr-Cyrl-RS"/>
              </w:rPr>
              <w:t>ебруар</w:t>
            </w:r>
          </w:p>
        </w:tc>
        <w:tc>
          <w:tcPr>
            <w:tcW w:w="1894" w:type="dxa"/>
            <w:shd w:val="clear" w:color="auto" w:fill="E2EFD9" w:themeFill="accent6" w:themeFillTint="33"/>
            <w:vAlign w:val="center"/>
          </w:tcPr>
          <w:p w:rsidR="00C26B86" w:rsidRPr="006C7B09" w:rsidRDefault="00C26B86" w:rsidP="001A4420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6C7B09">
              <w:rPr>
                <w:rFonts w:asciiTheme="majorHAnsi" w:hAnsiTheme="majorHAnsi" w:cstheme="majorHAnsi"/>
                <w:b/>
                <w:sz w:val="18"/>
                <w:szCs w:val="18"/>
              </w:rPr>
              <w:t>30</w:t>
            </w:r>
            <w:r w:rsidR="001A4420" w:rsidRPr="006C7B09">
              <w:rPr>
                <w:rFonts w:asciiTheme="majorHAnsi" w:hAnsiTheme="majorHAnsi" w:cstheme="majorHAnsi"/>
                <w:b/>
                <w:sz w:val="18"/>
                <w:szCs w:val="18"/>
                <w:lang w:val="sr-Cyrl-RS"/>
              </w:rPr>
              <w:t>. с</w:t>
            </w:r>
            <w:r w:rsidR="00612BCA" w:rsidRPr="006C7B09">
              <w:rPr>
                <w:rFonts w:asciiTheme="majorHAnsi" w:hAnsiTheme="majorHAnsi" w:cstheme="majorHAnsi"/>
                <w:b/>
                <w:sz w:val="18"/>
                <w:szCs w:val="18"/>
                <w:lang w:val="sr-Cyrl-RS"/>
              </w:rPr>
              <w:t>ептембар</w:t>
            </w:r>
          </w:p>
        </w:tc>
      </w:tr>
      <w:tr w:rsidR="00C26B86" w:rsidRPr="006C7B09" w:rsidTr="00DA595F">
        <w:trPr>
          <w:trHeight w:val="665"/>
          <w:jc w:val="center"/>
        </w:trPr>
        <w:tc>
          <w:tcPr>
            <w:tcW w:w="2305" w:type="dxa"/>
            <w:vAlign w:val="center"/>
          </w:tcPr>
          <w:p w:rsidR="00C26B86" w:rsidRPr="006C7B09" w:rsidRDefault="00612BCA" w:rsidP="0076015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6C7B09">
              <w:rPr>
                <w:rFonts w:asciiTheme="majorHAnsi" w:hAnsiTheme="majorHAnsi" w:cstheme="majorHAnsi"/>
                <w:b/>
                <w:sz w:val="18"/>
                <w:szCs w:val="18"/>
                <w:lang w:val="sr-Cyrl-RS"/>
              </w:rPr>
              <w:t>Последњ</w:t>
            </w:r>
            <w:r w:rsidR="0076015D" w:rsidRPr="006C7B09">
              <w:rPr>
                <w:rFonts w:asciiTheme="majorHAnsi" w:hAnsiTheme="majorHAnsi" w:cstheme="majorHAnsi"/>
                <w:b/>
                <w:sz w:val="18"/>
                <w:szCs w:val="18"/>
                <w:lang w:val="sr-Cyrl-RS"/>
              </w:rPr>
              <w:t xml:space="preserve">а година за коју су </w:t>
            </w:r>
            <w:r w:rsidRPr="006C7B09">
              <w:rPr>
                <w:rFonts w:asciiTheme="majorHAnsi" w:hAnsiTheme="majorHAnsi" w:cstheme="majorHAnsi"/>
                <w:b/>
                <w:sz w:val="18"/>
                <w:szCs w:val="18"/>
                <w:lang w:val="sr-Cyrl-RS"/>
              </w:rPr>
              <w:t xml:space="preserve">доступни </w:t>
            </w:r>
            <w:r w:rsidR="0076015D" w:rsidRPr="006C7B09">
              <w:rPr>
                <w:rFonts w:asciiTheme="majorHAnsi" w:hAnsiTheme="majorHAnsi" w:cstheme="majorHAnsi"/>
                <w:b/>
                <w:sz w:val="18"/>
                <w:szCs w:val="18"/>
                <w:lang w:val="sr-Cyrl-RS"/>
              </w:rPr>
              <w:t>п</w:t>
            </w:r>
            <w:r w:rsidRPr="006C7B09">
              <w:rPr>
                <w:rFonts w:asciiTheme="majorHAnsi" w:hAnsiTheme="majorHAnsi" w:cstheme="majorHAnsi"/>
                <w:b/>
                <w:sz w:val="18"/>
                <w:szCs w:val="18"/>
                <w:lang w:val="sr-Cyrl-RS"/>
              </w:rPr>
              <w:t xml:space="preserve">одаци </w:t>
            </w:r>
          </w:p>
        </w:tc>
        <w:tc>
          <w:tcPr>
            <w:tcW w:w="1569" w:type="dxa"/>
            <w:vAlign w:val="center"/>
          </w:tcPr>
          <w:p w:rsidR="00C26B86" w:rsidRPr="006C7B09" w:rsidRDefault="0076015D" w:rsidP="00CD3DB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C7B09">
              <w:rPr>
                <w:rFonts w:asciiTheme="majorHAnsi" w:hAnsiTheme="majorHAnsi" w:cstheme="majorHAnsi"/>
                <w:sz w:val="18"/>
                <w:szCs w:val="18"/>
                <w:lang w:val="sr-Cyrl-RS"/>
              </w:rPr>
              <w:t>г</w:t>
            </w:r>
            <w:r w:rsidR="00612BCA" w:rsidRPr="006C7B09">
              <w:rPr>
                <w:rFonts w:asciiTheme="majorHAnsi" w:hAnsiTheme="majorHAnsi" w:cstheme="majorHAnsi"/>
                <w:sz w:val="18"/>
                <w:szCs w:val="18"/>
                <w:lang w:val="sr-Cyrl-RS"/>
              </w:rPr>
              <w:t>одина</w:t>
            </w:r>
            <w:r w:rsidR="00C26B86" w:rsidRPr="006C7B09">
              <w:rPr>
                <w:rFonts w:asciiTheme="majorHAnsi" w:hAnsiTheme="majorHAnsi" w:cstheme="majorHAnsi"/>
                <w:sz w:val="18"/>
                <w:szCs w:val="18"/>
              </w:rPr>
              <w:t xml:space="preserve"> t-1</w:t>
            </w:r>
          </w:p>
        </w:tc>
        <w:tc>
          <w:tcPr>
            <w:tcW w:w="1894" w:type="dxa"/>
            <w:vAlign w:val="center"/>
          </w:tcPr>
          <w:p w:rsidR="00C26B86" w:rsidRPr="006C7B09" w:rsidRDefault="0076015D" w:rsidP="00CD3DB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C7B09">
              <w:rPr>
                <w:rFonts w:asciiTheme="majorHAnsi" w:hAnsiTheme="majorHAnsi" w:cstheme="majorHAnsi"/>
                <w:sz w:val="18"/>
                <w:szCs w:val="18"/>
                <w:lang w:val="sr-Cyrl-RS"/>
              </w:rPr>
              <w:t>г</w:t>
            </w:r>
            <w:r w:rsidR="00612BCA" w:rsidRPr="006C7B09">
              <w:rPr>
                <w:rFonts w:asciiTheme="majorHAnsi" w:hAnsiTheme="majorHAnsi" w:cstheme="majorHAnsi"/>
                <w:sz w:val="18"/>
                <w:szCs w:val="18"/>
                <w:lang w:val="sr-Cyrl-RS"/>
              </w:rPr>
              <w:t>одина</w:t>
            </w:r>
            <w:r w:rsidR="00C26B86" w:rsidRPr="006C7B09">
              <w:rPr>
                <w:rFonts w:asciiTheme="majorHAnsi" w:hAnsiTheme="majorHAnsi" w:cstheme="majorHAnsi"/>
                <w:sz w:val="18"/>
                <w:szCs w:val="18"/>
              </w:rPr>
              <w:t xml:space="preserve"> t-1</w:t>
            </w:r>
          </w:p>
        </w:tc>
      </w:tr>
      <w:tr w:rsidR="00C26B86" w:rsidRPr="006C7B09" w:rsidTr="00DA595F">
        <w:trPr>
          <w:trHeight w:val="1160"/>
          <w:jc w:val="center"/>
        </w:trPr>
        <w:tc>
          <w:tcPr>
            <w:tcW w:w="2305" w:type="dxa"/>
            <w:vAlign w:val="center"/>
          </w:tcPr>
          <w:p w:rsidR="00C26B86" w:rsidRPr="006C7B09" w:rsidRDefault="0076015D" w:rsidP="00F32202">
            <w:pPr>
              <w:rPr>
                <w:rFonts w:asciiTheme="majorHAnsi" w:hAnsiTheme="majorHAnsi" w:cstheme="majorHAnsi"/>
                <w:b/>
                <w:sz w:val="18"/>
                <w:szCs w:val="18"/>
                <w:highlight w:val="yellow"/>
              </w:rPr>
            </w:pPr>
            <w:r w:rsidRPr="006C7B09">
              <w:rPr>
                <w:rFonts w:asciiTheme="majorHAnsi" w:hAnsiTheme="majorHAnsi" w:cstheme="majorHAnsi"/>
                <w:b/>
                <w:sz w:val="18"/>
                <w:szCs w:val="18"/>
                <w:lang w:val="sr-Cyrl-RS"/>
              </w:rPr>
              <w:t>Дужина ревидиране временске серије (максимална)</w:t>
            </w:r>
          </w:p>
        </w:tc>
        <w:tc>
          <w:tcPr>
            <w:tcW w:w="1569" w:type="dxa"/>
            <w:vAlign w:val="center"/>
          </w:tcPr>
          <w:p w:rsidR="00C26B86" w:rsidRPr="006C7B09" w:rsidRDefault="00C26B86" w:rsidP="00CD3DB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C7B09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  <w:tc>
          <w:tcPr>
            <w:tcW w:w="1894" w:type="dxa"/>
            <w:vAlign w:val="center"/>
          </w:tcPr>
          <w:p w:rsidR="00C26B86" w:rsidRPr="006C7B09" w:rsidRDefault="00C26B86" w:rsidP="00CD3DBB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 w:val="sr-Cyrl-RS"/>
              </w:rPr>
            </w:pPr>
            <w:r w:rsidRPr="006C7B0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2 </w:t>
            </w:r>
            <w:r w:rsidR="00CD56C9" w:rsidRPr="006C7B09">
              <w:rPr>
                <w:rFonts w:asciiTheme="majorHAnsi" w:hAnsiTheme="majorHAnsi" w:cstheme="majorHAnsi"/>
                <w:b/>
                <w:sz w:val="18"/>
                <w:szCs w:val="18"/>
                <w:lang w:val="sr-Cyrl-RS"/>
              </w:rPr>
              <w:t>године</w:t>
            </w:r>
          </w:p>
          <w:p w:rsidR="007248F0" w:rsidRPr="006C7B09" w:rsidRDefault="007248F0" w:rsidP="00CD3DBB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 w:val="sr-Cyrl-RS"/>
              </w:rPr>
            </w:pPr>
          </w:p>
          <w:p w:rsidR="00C26B86" w:rsidRPr="006C7B09" w:rsidRDefault="00CD56C9" w:rsidP="004560A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C7B09">
              <w:rPr>
                <w:rFonts w:asciiTheme="majorHAnsi" w:hAnsiTheme="majorHAnsi" w:cstheme="majorHAnsi"/>
                <w:sz w:val="18"/>
                <w:szCs w:val="18"/>
                <w:lang w:val="sr-Cyrl-RS"/>
              </w:rPr>
              <w:t>година</w:t>
            </w:r>
            <w:r w:rsidR="00C26B86" w:rsidRPr="006C7B09">
              <w:rPr>
                <w:rFonts w:asciiTheme="majorHAnsi" w:hAnsiTheme="majorHAnsi" w:cstheme="majorHAnsi"/>
                <w:sz w:val="18"/>
                <w:szCs w:val="18"/>
              </w:rPr>
              <w:t xml:space="preserve"> t-1</w:t>
            </w:r>
          </w:p>
          <w:p w:rsidR="00C26B86" w:rsidRPr="006C7B09" w:rsidRDefault="00CD56C9" w:rsidP="00CD56C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C7B09">
              <w:rPr>
                <w:rFonts w:asciiTheme="majorHAnsi" w:hAnsiTheme="majorHAnsi" w:cstheme="majorHAnsi"/>
                <w:sz w:val="18"/>
                <w:szCs w:val="18"/>
                <w:lang w:val="sr-Cyrl-RS"/>
              </w:rPr>
              <w:t>година</w:t>
            </w:r>
            <w:r w:rsidR="00C26B86" w:rsidRPr="006C7B09">
              <w:rPr>
                <w:rFonts w:asciiTheme="majorHAnsi" w:hAnsiTheme="majorHAnsi" w:cstheme="majorHAnsi"/>
                <w:sz w:val="18"/>
                <w:szCs w:val="18"/>
              </w:rPr>
              <w:t xml:space="preserve"> t-2</w:t>
            </w:r>
          </w:p>
        </w:tc>
      </w:tr>
    </w:tbl>
    <w:p w:rsidR="00CD56C9" w:rsidRPr="006C7B09" w:rsidRDefault="00CD56C9" w:rsidP="009470FF">
      <w:pPr>
        <w:spacing w:after="0" w:line="276" w:lineRule="auto"/>
        <w:rPr>
          <w:rFonts w:asciiTheme="majorHAnsi" w:eastAsiaTheme="minorHAnsi" w:hAnsiTheme="majorHAnsi" w:cstheme="majorHAnsi"/>
          <w:sz w:val="20"/>
          <w:szCs w:val="20"/>
          <w:lang w:val="sr-Latn-RS"/>
        </w:rPr>
      </w:pPr>
    </w:p>
    <w:p w:rsidR="00612BCA" w:rsidRDefault="00612BCA" w:rsidP="005C4ABB">
      <w:pPr>
        <w:spacing w:after="0" w:line="276" w:lineRule="auto"/>
        <w:jc w:val="both"/>
        <w:rPr>
          <w:rFonts w:asciiTheme="majorHAnsi" w:eastAsiaTheme="minorHAnsi" w:hAnsiTheme="majorHAnsi" w:cstheme="majorHAnsi"/>
          <w:sz w:val="20"/>
          <w:szCs w:val="20"/>
          <w:lang w:val="sr-Cyrl-RS"/>
        </w:rPr>
      </w:pPr>
      <w:r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>Ревизиј</w:t>
      </w:r>
      <w:r w:rsidR="00CD56C9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а података </w:t>
      </w:r>
      <w:r w:rsidR="00F32202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>годишњих националних рачун</w:t>
      </w:r>
      <w:r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>а врш</w:t>
      </w:r>
      <w:r w:rsidR="00CD56C9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>и</w:t>
      </w:r>
      <w:r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 се једном годишње</w:t>
      </w:r>
      <w:r w:rsidR="00CD56C9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>,</w:t>
      </w:r>
      <w:r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 крајем септембра. У години </w:t>
      </w:r>
      <w:r w:rsidR="00CD56C9" w:rsidRPr="006C7B09">
        <w:rPr>
          <w:rFonts w:asciiTheme="majorHAnsi" w:hAnsiTheme="majorHAnsi" w:cstheme="majorHAnsi"/>
          <w:sz w:val="18"/>
          <w:szCs w:val="18"/>
          <w:lang w:val="sr-Cyrl-RS"/>
        </w:rPr>
        <w:t>t</w:t>
      </w:r>
      <w:r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, </w:t>
      </w:r>
      <w:r w:rsidR="00CD56C9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процена </w:t>
      </w:r>
      <w:r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годишњих </w:t>
      </w:r>
      <w:r w:rsidR="00CD56C9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података </w:t>
      </w:r>
      <w:r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за </w:t>
      </w:r>
      <w:r w:rsidR="00F32202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годину </w:t>
      </w:r>
      <w:r w:rsidR="00CD56C9" w:rsidRPr="006C7B09">
        <w:rPr>
          <w:rFonts w:asciiTheme="majorHAnsi" w:hAnsiTheme="majorHAnsi" w:cstheme="majorHAnsi"/>
          <w:sz w:val="18"/>
          <w:szCs w:val="18"/>
          <w:lang w:val="sr-Cyrl-RS"/>
        </w:rPr>
        <w:t>t</w:t>
      </w:r>
      <w:r w:rsidR="00F32202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>-1 (добијен</w:t>
      </w:r>
      <w:r w:rsidR="00715516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>а</w:t>
      </w:r>
      <w:r w:rsidR="00F32202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 као збир </w:t>
      </w:r>
      <w:r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>четири квартала) ревидира се када постан</w:t>
      </w:r>
      <w:r w:rsidR="00715516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>у</w:t>
      </w:r>
      <w:r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 доступн</w:t>
      </w:r>
      <w:r w:rsidR="00715516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>и претходни подаци, добијени као резултат годишњег обрачуна БДП-а</w:t>
      </w:r>
      <w:r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. Поред тога, </w:t>
      </w:r>
      <w:r w:rsidR="00715516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претходни подаци </w:t>
      </w:r>
      <w:r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за годину </w:t>
      </w:r>
      <w:r w:rsidR="00715516" w:rsidRPr="006C7B09">
        <w:rPr>
          <w:rFonts w:asciiTheme="majorHAnsi" w:hAnsiTheme="majorHAnsi" w:cstheme="majorHAnsi"/>
          <w:sz w:val="18"/>
          <w:szCs w:val="18"/>
          <w:lang w:val="sr-Cyrl-RS"/>
        </w:rPr>
        <w:t>t-</w:t>
      </w:r>
      <w:r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>2 ревидира</w:t>
      </w:r>
      <w:r w:rsidR="00715516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>ју</w:t>
      </w:r>
      <w:r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 се на основу резултата </w:t>
      </w:r>
      <w:r w:rsidR="00F32202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>т</w:t>
      </w:r>
      <w:r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абела понуде и </w:t>
      </w:r>
      <w:r w:rsidR="00715516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>употребе.</w:t>
      </w:r>
      <w:r w:rsidR="00F32202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 </w:t>
      </w:r>
    </w:p>
    <w:p w:rsidR="009470FF" w:rsidRPr="006C7B09" w:rsidRDefault="009470FF" w:rsidP="009470FF">
      <w:pPr>
        <w:spacing w:after="0" w:line="276" w:lineRule="auto"/>
        <w:jc w:val="both"/>
        <w:rPr>
          <w:rFonts w:asciiTheme="majorHAnsi" w:eastAsiaTheme="minorHAnsi" w:hAnsiTheme="majorHAnsi" w:cstheme="majorHAnsi"/>
          <w:sz w:val="20"/>
          <w:szCs w:val="20"/>
          <w:lang w:val="sr-Cyrl-RS"/>
        </w:rPr>
      </w:pPr>
    </w:p>
    <w:p w:rsidR="003C2890" w:rsidRPr="006C7B09" w:rsidRDefault="00612BCA" w:rsidP="003C2890">
      <w:pPr>
        <w:jc w:val="center"/>
        <w:rPr>
          <w:rFonts w:asciiTheme="majorHAnsi" w:eastAsiaTheme="minorHAnsi" w:hAnsiTheme="majorHAnsi" w:cstheme="majorHAnsi"/>
          <w:b/>
          <w:bCs/>
          <w:sz w:val="20"/>
          <w:szCs w:val="20"/>
        </w:rPr>
      </w:pPr>
      <w:r w:rsidRPr="006C7B09">
        <w:rPr>
          <w:rFonts w:asciiTheme="majorHAnsi" w:eastAsiaTheme="minorHAnsi" w:hAnsiTheme="majorHAnsi" w:cstheme="majorHAnsi"/>
          <w:b/>
          <w:bCs/>
          <w:sz w:val="20"/>
          <w:szCs w:val="20"/>
          <w:lang w:val="sr-Cyrl-RS"/>
        </w:rPr>
        <w:t xml:space="preserve">Регионални подаци </w:t>
      </w:r>
    </w:p>
    <w:tbl>
      <w:tblPr>
        <w:tblStyle w:val="TableGrid1"/>
        <w:tblW w:w="0" w:type="auto"/>
        <w:tblInd w:w="1875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single" w:sz="8" w:space="0" w:color="A8D08D" w:themeColor="accent6" w:themeTint="9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1"/>
        <w:gridCol w:w="1429"/>
        <w:gridCol w:w="1870"/>
      </w:tblGrid>
      <w:tr w:rsidR="003C2890" w:rsidRPr="006C7B09" w:rsidTr="00DA595F">
        <w:trPr>
          <w:trHeight w:val="416"/>
        </w:trPr>
        <w:tc>
          <w:tcPr>
            <w:tcW w:w="2321" w:type="dxa"/>
            <w:shd w:val="clear" w:color="auto" w:fill="E2EFD9" w:themeFill="accent6" w:themeFillTint="33"/>
            <w:vAlign w:val="center"/>
          </w:tcPr>
          <w:p w:rsidR="003C2890" w:rsidRPr="006C7B09" w:rsidRDefault="003C2890" w:rsidP="008A3384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3299" w:type="dxa"/>
            <w:gridSpan w:val="2"/>
            <w:shd w:val="clear" w:color="auto" w:fill="E2EFD9" w:themeFill="accent6" w:themeFillTint="33"/>
            <w:vAlign w:val="center"/>
          </w:tcPr>
          <w:p w:rsidR="003C2890" w:rsidRPr="006C7B09" w:rsidRDefault="00612BCA" w:rsidP="00070A63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6C7B09">
              <w:rPr>
                <w:rFonts w:asciiTheme="majorHAnsi" w:hAnsiTheme="majorHAnsi" w:cstheme="majorHAnsi"/>
                <w:b/>
                <w:sz w:val="18"/>
                <w:szCs w:val="18"/>
                <w:lang w:val="sr-Cyrl-RS"/>
              </w:rPr>
              <w:t xml:space="preserve">Датум </w:t>
            </w:r>
            <w:r w:rsidR="00070A63" w:rsidRPr="006C7B09">
              <w:rPr>
                <w:rFonts w:asciiTheme="majorHAnsi" w:hAnsiTheme="majorHAnsi" w:cstheme="majorHAnsi"/>
                <w:b/>
                <w:sz w:val="18"/>
                <w:szCs w:val="18"/>
                <w:lang w:val="sr-Cyrl-RS"/>
              </w:rPr>
              <w:t>публиковања</w:t>
            </w:r>
          </w:p>
        </w:tc>
      </w:tr>
      <w:tr w:rsidR="00FF7CA5" w:rsidRPr="006C7B09" w:rsidTr="00DA595F">
        <w:trPr>
          <w:trHeight w:val="416"/>
        </w:trPr>
        <w:tc>
          <w:tcPr>
            <w:tcW w:w="2321" w:type="dxa"/>
            <w:shd w:val="clear" w:color="auto" w:fill="E2EFD9" w:themeFill="accent6" w:themeFillTint="33"/>
            <w:vAlign w:val="center"/>
          </w:tcPr>
          <w:p w:rsidR="00FF7CA5" w:rsidRPr="006C7B09" w:rsidRDefault="00612BCA" w:rsidP="00FF7CA5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6C7B09">
              <w:rPr>
                <w:rFonts w:asciiTheme="majorHAnsi" w:hAnsiTheme="majorHAnsi" w:cstheme="majorHAnsi"/>
                <w:b/>
                <w:sz w:val="18"/>
                <w:szCs w:val="18"/>
                <w:lang w:val="sr-Cyrl-RS"/>
              </w:rPr>
              <w:t xml:space="preserve">Година </w:t>
            </w:r>
            <w:r w:rsidR="00FF7CA5" w:rsidRPr="006C7B0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t</w:t>
            </w:r>
          </w:p>
          <w:p w:rsidR="00FF7CA5" w:rsidRPr="006C7B09" w:rsidRDefault="00FF7CA5" w:rsidP="00FF7CA5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429" w:type="dxa"/>
            <w:shd w:val="clear" w:color="auto" w:fill="E2EFD9" w:themeFill="accent6" w:themeFillTint="33"/>
            <w:vAlign w:val="center"/>
          </w:tcPr>
          <w:p w:rsidR="00FF7CA5" w:rsidRPr="006C7B09" w:rsidRDefault="00FF7CA5" w:rsidP="00070A63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6C7B09">
              <w:rPr>
                <w:rFonts w:asciiTheme="majorHAnsi" w:hAnsiTheme="majorHAnsi" w:cstheme="majorHAnsi"/>
                <w:b/>
                <w:sz w:val="18"/>
                <w:szCs w:val="18"/>
              </w:rPr>
              <w:t>31</w:t>
            </w:r>
            <w:r w:rsidR="00070A63" w:rsidRPr="006C7B09">
              <w:rPr>
                <w:rFonts w:asciiTheme="majorHAnsi" w:hAnsiTheme="majorHAnsi" w:cstheme="majorHAnsi"/>
                <w:b/>
                <w:sz w:val="18"/>
                <w:szCs w:val="18"/>
                <w:lang w:val="sr-Cyrl-RS"/>
              </w:rPr>
              <w:t>. м</w:t>
            </w:r>
            <w:r w:rsidR="00612BCA" w:rsidRPr="006C7B09">
              <w:rPr>
                <w:rFonts w:asciiTheme="majorHAnsi" w:hAnsiTheme="majorHAnsi" w:cstheme="majorHAnsi"/>
                <w:b/>
                <w:sz w:val="18"/>
                <w:szCs w:val="18"/>
                <w:lang w:val="sr-Cyrl-RS"/>
              </w:rPr>
              <w:t>арт</w:t>
            </w:r>
          </w:p>
        </w:tc>
        <w:tc>
          <w:tcPr>
            <w:tcW w:w="1870" w:type="dxa"/>
            <w:shd w:val="clear" w:color="auto" w:fill="E2EFD9" w:themeFill="accent6" w:themeFillTint="33"/>
            <w:vAlign w:val="center"/>
          </w:tcPr>
          <w:p w:rsidR="00FF7CA5" w:rsidRPr="006C7B09" w:rsidRDefault="00FF7CA5" w:rsidP="00070A63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6C7B09">
              <w:rPr>
                <w:rFonts w:asciiTheme="majorHAnsi" w:hAnsiTheme="majorHAnsi" w:cstheme="majorHAnsi"/>
                <w:b/>
                <w:sz w:val="18"/>
                <w:szCs w:val="18"/>
              </w:rPr>
              <w:t>30</w:t>
            </w:r>
            <w:r w:rsidR="00070A63" w:rsidRPr="006C7B09">
              <w:rPr>
                <w:rFonts w:asciiTheme="majorHAnsi" w:hAnsiTheme="majorHAnsi" w:cstheme="majorHAnsi"/>
                <w:b/>
                <w:sz w:val="18"/>
                <w:szCs w:val="18"/>
                <w:lang w:val="sr-Cyrl-RS"/>
              </w:rPr>
              <w:t>. н</w:t>
            </w:r>
            <w:r w:rsidR="00612BCA" w:rsidRPr="006C7B09">
              <w:rPr>
                <w:rFonts w:asciiTheme="majorHAnsi" w:hAnsiTheme="majorHAnsi" w:cstheme="majorHAnsi"/>
                <w:b/>
                <w:sz w:val="18"/>
                <w:szCs w:val="18"/>
                <w:lang w:val="sr-Cyrl-RS"/>
              </w:rPr>
              <w:t>овембар</w:t>
            </w:r>
          </w:p>
        </w:tc>
      </w:tr>
      <w:tr w:rsidR="00C26B86" w:rsidRPr="006C7B09" w:rsidTr="00DA595F">
        <w:trPr>
          <w:trHeight w:val="773"/>
        </w:trPr>
        <w:tc>
          <w:tcPr>
            <w:tcW w:w="2321" w:type="dxa"/>
            <w:vAlign w:val="center"/>
          </w:tcPr>
          <w:p w:rsidR="00C26B86" w:rsidRPr="006C7B09" w:rsidRDefault="00612BCA" w:rsidP="00070A63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6C7B09">
              <w:rPr>
                <w:rFonts w:asciiTheme="majorHAnsi" w:hAnsiTheme="majorHAnsi" w:cstheme="majorHAnsi"/>
                <w:b/>
                <w:sz w:val="18"/>
                <w:szCs w:val="18"/>
                <w:lang w:val="sr-Cyrl-RS"/>
              </w:rPr>
              <w:t>Последњ</w:t>
            </w:r>
            <w:r w:rsidR="00070A63" w:rsidRPr="006C7B09">
              <w:rPr>
                <w:rFonts w:asciiTheme="majorHAnsi" w:hAnsiTheme="majorHAnsi" w:cstheme="majorHAnsi"/>
                <w:b/>
                <w:sz w:val="18"/>
                <w:szCs w:val="18"/>
                <w:lang w:val="sr-Cyrl-RS"/>
              </w:rPr>
              <w:t xml:space="preserve">а година за коју су </w:t>
            </w:r>
            <w:r w:rsidRPr="006C7B09">
              <w:rPr>
                <w:rFonts w:asciiTheme="majorHAnsi" w:hAnsiTheme="majorHAnsi" w:cstheme="majorHAnsi"/>
                <w:b/>
                <w:sz w:val="18"/>
                <w:szCs w:val="18"/>
                <w:lang w:val="sr-Cyrl-RS"/>
              </w:rPr>
              <w:t xml:space="preserve">доступни </w:t>
            </w:r>
            <w:r w:rsidR="00070A63" w:rsidRPr="006C7B09">
              <w:rPr>
                <w:rFonts w:asciiTheme="majorHAnsi" w:hAnsiTheme="majorHAnsi" w:cstheme="majorHAnsi"/>
                <w:b/>
                <w:sz w:val="18"/>
                <w:szCs w:val="18"/>
                <w:lang w:val="sr-Cyrl-RS"/>
              </w:rPr>
              <w:t>п</w:t>
            </w:r>
            <w:r w:rsidRPr="006C7B09">
              <w:rPr>
                <w:rFonts w:asciiTheme="majorHAnsi" w:hAnsiTheme="majorHAnsi" w:cstheme="majorHAnsi"/>
                <w:b/>
                <w:sz w:val="18"/>
                <w:szCs w:val="18"/>
                <w:lang w:val="sr-Cyrl-RS"/>
              </w:rPr>
              <w:t xml:space="preserve">одаци </w:t>
            </w:r>
          </w:p>
        </w:tc>
        <w:tc>
          <w:tcPr>
            <w:tcW w:w="1429" w:type="dxa"/>
            <w:vAlign w:val="center"/>
          </w:tcPr>
          <w:p w:rsidR="00C26B86" w:rsidRPr="006C7B09" w:rsidRDefault="00070A63" w:rsidP="00070A6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C7B09">
              <w:rPr>
                <w:rFonts w:asciiTheme="majorHAnsi" w:hAnsiTheme="majorHAnsi" w:cstheme="majorHAnsi"/>
                <w:sz w:val="18"/>
                <w:szCs w:val="18"/>
                <w:lang w:val="sr-Cyrl-RS"/>
              </w:rPr>
              <w:t xml:space="preserve">година </w:t>
            </w:r>
            <w:r w:rsidR="00C26B86" w:rsidRPr="006C7B09">
              <w:rPr>
                <w:rFonts w:asciiTheme="majorHAnsi" w:hAnsiTheme="majorHAnsi" w:cstheme="majorHAnsi"/>
                <w:sz w:val="18"/>
                <w:szCs w:val="18"/>
              </w:rPr>
              <w:t>t-2</w:t>
            </w:r>
          </w:p>
        </w:tc>
        <w:tc>
          <w:tcPr>
            <w:tcW w:w="1870" w:type="dxa"/>
            <w:vAlign w:val="center"/>
          </w:tcPr>
          <w:p w:rsidR="00C26B86" w:rsidRPr="006C7B09" w:rsidRDefault="00070A63" w:rsidP="00070A6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C7B09">
              <w:rPr>
                <w:rFonts w:asciiTheme="majorHAnsi" w:hAnsiTheme="majorHAnsi" w:cstheme="majorHAnsi"/>
                <w:sz w:val="18"/>
                <w:szCs w:val="18"/>
                <w:lang w:val="sr-Cyrl-RS"/>
              </w:rPr>
              <w:t xml:space="preserve">година </w:t>
            </w:r>
            <w:r w:rsidR="00C26B86" w:rsidRPr="006C7B09">
              <w:rPr>
                <w:rFonts w:asciiTheme="majorHAnsi" w:hAnsiTheme="majorHAnsi" w:cstheme="majorHAnsi"/>
                <w:sz w:val="18"/>
                <w:szCs w:val="18"/>
              </w:rPr>
              <w:t>t-1</w:t>
            </w:r>
          </w:p>
        </w:tc>
      </w:tr>
      <w:tr w:rsidR="00C26B86" w:rsidRPr="006C7B09" w:rsidTr="00DA595F">
        <w:trPr>
          <w:trHeight w:val="980"/>
        </w:trPr>
        <w:tc>
          <w:tcPr>
            <w:tcW w:w="2321" w:type="dxa"/>
            <w:vAlign w:val="center"/>
          </w:tcPr>
          <w:p w:rsidR="00C26B86" w:rsidRPr="006C7B09" w:rsidRDefault="00472073" w:rsidP="00D35D2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6C7B09">
              <w:rPr>
                <w:rFonts w:asciiTheme="majorHAnsi" w:hAnsiTheme="majorHAnsi" w:cstheme="majorHAnsi"/>
                <w:b/>
                <w:sz w:val="18"/>
                <w:szCs w:val="18"/>
                <w:lang w:val="sr-Cyrl-RS"/>
              </w:rPr>
              <w:t>Дужина ревидиране временске серије (максимална)</w:t>
            </w:r>
          </w:p>
        </w:tc>
        <w:tc>
          <w:tcPr>
            <w:tcW w:w="1429" w:type="dxa"/>
            <w:vAlign w:val="center"/>
          </w:tcPr>
          <w:p w:rsidR="00C26B86" w:rsidRPr="006C7B09" w:rsidRDefault="00C26B86" w:rsidP="00B20D75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 w:val="sr-Cyrl-RS"/>
              </w:rPr>
            </w:pPr>
            <w:r w:rsidRPr="006C7B0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1 </w:t>
            </w:r>
            <w:r w:rsidR="00612BCA" w:rsidRPr="006C7B09">
              <w:rPr>
                <w:rFonts w:asciiTheme="majorHAnsi" w:hAnsiTheme="majorHAnsi" w:cstheme="majorHAnsi"/>
                <w:b/>
                <w:sz w:val="18"/>
                <w:szCs w:val="18"/>
                <w:lang w:val="sr-Cyrl-RS"/>
              </w:rPr>
              <w:t>година</w:t>
            </w:r>
          </w:p>
          <w:p w:rsidR="007248F0" w:rsidRPr="006C7B09" w:rsidRDefault="007248F0" w:rsidP="00B20D75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:rsidR="00C26B86" w:rsidRPr="006C7B09" w:rsidRDefault="00472073" w:rsidP="00700BB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C7B09">
              <w:rPr>
                <w:rFonts w:asciiTheme="majorHAnsi" w:hAnsiTheme="majorHAnsi" w:cstheme="majorHAnsi"/>
                <w:sz w:val="18"/>
                <w:szCs w:val="18"/>
                <w:lang w:val="sr-Cyrl-RS"/>
              </w:rPr>
              <w:t>г</w:t>
            </w:r>
            <w:r w:rsidR="00612BCA" w:rsidRPr="006C7B09">
              <w:rPr>
                <w:rFonts w:asciiTheme="majorHAnsi" w:hAnsiTheme="majorHAnsi" w:cstheme="majorHAnsi"/>
                <w:sz w:val="18"/>
                <w:szCs w:val="18"/>
                <w:lang w:val="sr-Cyrl-RS"/>
              </w:rPr>
              <w:t>одина</w:t>
            </w:r>
            <w:r w:rsidR="00C26B86" w:rsidRPr="006C7B09">
              <w:rPr>
                <w:rFonts w:asciiTheme="majorHAnsi" w:hAnsiTheme="majorHAnsi" w:cstheme="majorHAnsi"/>
                <w:sz w:val="18"/>
                <w:szCs w:val="18"/>
              </w:rPr>
              <w:t xml:space="preserve"> t-3</w:t>
            </w:r>
          </w:p>
        </w:tc>
        <w:tc>
          <w:tcPr>
            <w:tcW w:w="1870" w:type="dxa"/>
            <w:vAlign w:val="center"/>
          </w:tcPr>
          <w:p w:rsidR="00C26B86" w:rsidRPr="006C7B09" w:rsidRDefault="00C26B86" w:rsidP="008D3F3B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 w:val="sr-Cyrl-RS"/>
              </w:rPr>
            </w:pPr>
            <w:r w:rsidRPr="006C7B0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1 </w:t>
            </w:r>
            <w:r w:rsidR="00612BCA" w:rsidRPr="006C7B09">
              <w:rPr>
                <w:rFonts w:asciiTheme="majorHAnsi" w:hAnsiTheme="majorHAnsi" w:cstheme="majorHAnsi"/>
                <w:b/>
                <w:sz w:val="18"/>
                <w:szCs w:val="18"/>
                <w:lang w:val="sr-Cyrl-RS"/>
              </w:rPr>
              <w:t>година</w:t>
            </w:r>
          </w:p>
          <w:p w:rsidR="007248F0" w:rsidRPr="006C7B09" w:rsidRDefault="007248F0" w:rsidP="008D3F3B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:rsidR="00C26B86" w:rsidRPr="006C7B09" w:rsidRDefault="00472073" w:rsidP="00700BB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C7B09">
              <w:rPr>
                <w:rFonts w:asciiTheme="majorHAnsi" w:hAnsiTheme="majorHAnsi" w:cstheme="majorHAnsi"/>
                <w:sz w:val="18"/>
                <w:szCs w:val="18"/>
                <w:lang w:val="sr-Cyrl-RS"/>
              </w:rPr>
              <w:t>г</w:t>
            </w:r>
            <w:r w:rsidR="00612BCA" w:rsidRPr="006C7B09">
              <w:rPr>
                <w:rFonts w:asciiTheme="majorHAnsi" w:hAnsiTheme="majorHAnsi" w:cstheme="majorHAnsi"/>
                <w:sz w:val="18"/>
                <w:szCs w:val="18"/>
                <w:lang w:val="sr-Cyrl-RS"/>
              </w:rPr>
              <w:t>одина</w:t>
            </w:r>
            <w:r w:rsidR="00C26B86" w:rsidRPr="006C7B09">
              <w:rPr>
                <w:rFonts w:asciiTheme="majorHAnsi" w:hAnsiTheme="majorHAnsi" w:cstheme="majorHAnsi"/>
                <w:sz w:val="18"/>
                <w:szCs w:val="18"/>
              </w:rPr>
              <w:t xml:space="preserve"> t-2</w:t>
            </w:r>
          </w:p>
        </w:tc>
      </w:tr>
    </w:tbl>
    <w:p w:rsidR="003C2890" w:rsidRDefault="00F32202" w:rsidP="00533639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  <w:lang w:val="sr-Cyrl-RS"/>
        </w:rPr>
      </w:pPr>
      <w:r w:rsidRPr="006C7B09">
        <w:rPr>
          <w:rFonts w:asciiTheme="majorHAnsi" w:eastAsiaTheme="minorHAnsi" w:hAnsiTheme="majorHAnsi" w:cstheme="majorHAnsi"/>
          <w:sz w:val="20"/>
          <w:szCs w:val="20"/>
        </w:rPr>
        <w:br/>
      </w:r>
      <w:r w:rsidR="003B57C7" w:rsidRPr="006C7B09">
        <w:rPr>
          <w:rFonts w:asciiTheme="majorHAnsi" w:hAnsiTheme="majorHAnsi" w:cstheme="majorHAnsi"/>
          <w:sz w:val="20"/>
          <w:szCs w:val="20"/>
          <w:lang w:val="sr-Cyrl-RS"/>
        </w:rPr>
        <w:t>Претходни подаци о регионалном БДП-у за годину t-2 ревидирају се на основу резултата табела понуде и употребе и инпут-аутпут табела. У марту наредне године</w:t>
      </w:r>
      <w:r w:rsidR="00B419F6">
        <w:rPr>
          <w:rFonts w:asciiTheme="majorHAnsi" w:hAnsiTheme="majorHAnsi" w:cstheme="majorHAnsi"/>
          <w:sz w:val="20"/>
          <w:szCs w:val="20"/>
          <w:lang w:val="sr-Cyrl-RS"/>
        </w:rPr>
        <w:t>,</w:t>
      </w:r>
      <w:r w:rsidR="003B57C7" w:rsidRPr="006C7B09">
        <w:rPr>
          <w:rFonts w:asciiTheme="majorHAnsi" w:hAnsiTheme="majorHAnsi" w:cstheme="majorHAnsi"/>
          <w:sz w:val="20"/>
          <w:szCs w:val="20"/>
          <w:lang w:val="sr-Cyrl-RS"/>
        </w:rPr>
        <w:t xml:space="preserve"> на основу претходно ревидираног БДП</w:t>
      </w:r>
      <w:r w:rsidR="00B419F6">
        <w:rPr>
          <w:rFonts w:asciiTheme="majorHAnsi" w:hAnsiTheme="majorHAnsi" w:cstheme="majorHAnsi"/>
          <w:sz w:val="20"/>
          <w:szCs w:val="20"/>
          <w:lang w:val="sr-Cyrl-RS"/>
        </w:rPr>
        <w:t>-а</w:t>
      </w:r>
      <w:r w:rsidR="003B57C7" w:rsidRPr="006C7B09">
        <w:rPr>
          <w:rFonts w:asciiTheme="majorHAnsi" w:hAnsiTheme="majorHAnsi" w:cstheme="majorHAnsi"/>
          <w:sz w:val="20"/>
          <w:szCs w:val="20"/>
          <w:lang w:val="sr-Cyrl-RS"/>
        </w:rPr>
        <w:t xml:space="preserve"> на нивоу НСТЈ2</w:t>
      </w:r>
      <w:r w:rsidR="001109DA">
        <w:rPr>
          <w:rFonts w:asciiTheme="majorHAnsi" w:hAnsiTheme="majorHAnsi" w:cstheme="majorHAnsi"/>
          <w:sz w:val="20"/>
          <w:szCs w:val="20"/>
          <w:lang w:val="sr-Cyrl-RS"/>
        </w:rPr>
        <w:t>,</w:t>
      </w:r>
      <w:r w:rsidR="003B57C7" w:rsidRPr="006C7B09">
        <w:rPr>
          <w:rFonts w:asciiTheme="majorHAnsi" w:hAnsiTheme="majorHAnsi" w:cstheme="majorHAnsi"/>
          <w:sz w:val="20"/>
          <w:szCs w:val="20"/>
          <w:lang w:val="sr-Cyrl-RS"/>
        </w:rPr>
        <w:t xml:space="preserve"> ревидирају се подаци о регионалном БДВ-у на нивоу НСТЈ3, по </w:t>
      </w:r>
      <w:r w:rsidR="003B57C7" w:rsidRPr="0007619F">
        <w:rPr>
          <w:rFonts w:asciiTheme="majorHAnsi" w:hAnsiTheme="majorHAnsi" w:cstheme="majorHAnsi"/>
          <w:sz w:val="20"/>
          <w:szCs w:val="20"/>
          <w:lang w:val="sr-Cyrl-RS"/>
        </w:rPr>
        <w:t>делатностима (А10) за годину t-3.</w:t>
      </w:r>
    </w:p>
    <w:p w:rsidR="00533639" w:rsidRPr="0007619F" w:rsidRDefault="00533639" w:rsidP="00533639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  <w:lang w:val="sr-Cyrl-RS"/>
        </w:rPr>
      </w:pPr>
    </w:p>
    <w:p w:rsidR="00324484" w:rsidRDefault="005E4DC0" w:rsidP="00533639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  <w:lang w:val="sr-Cyrl-RS"/>
        </w:rPr>
      </w:pPr>
      <w:r w:rsidRPr="0007619F">
        <w:rPr>
          <w:rFonts w:asciiTheme="majorHAnsi" w:eastAsiaTheme="minorHAnsi" w:hAnsiTheme="majorHAnsi" w:cstheme="majorHAnsi"/>
          <w:i/>
          <w:sz w:val="20"/>
          <w:szCs w:val="20"/>
        </w:rPr>
        <w:t>SUT-IOT</w:t>
      </w:r>
      <w:r w:rsidRPr="0007619F">
        <w:rPr>
          <w:rFonts w:asciiTheme="majorHAnsi" w:hAnsiTheme="majorHAnsi" w:cstheme="majorHAnsi"/>
          <w:sz w:val="20"/>
          <w:szCs w:val="20"/>
          <w:lang w:val="sr-Cyrl-RS"/>
        </w:rPr>
        <w:t xml:space="preserve"> </w:t>
      </w:r>
      <w:r w:rsidR="00F32202" w:rsidRPr="0007619F">
        <w:rPr>
          <w:rFonts w:asciiTheme="majorHAnsi" w:hAnsiTheme="majorHAnsi" w:cstheme="majorHAnsi"/>
          <w:sz w:val="20"/>
          <w:szCs w:val="20"/>
          <w:lang w:val="sr-Cyrl-RS"/>
        </w:rPr>
        <w:t xml:space="preserve">за одређену годину </w:t>
      </w:r>
      <w:r w:rsidR="00324484" w:rsidRPr="0007619F">
        <w:rPr>
          <w:rFonts w:asciiTheme="majorHAnsi" w:hAnsiTheme="majorHAnsi" w:cstheme="majorHAnsi"/>
          <w:sz w:val="20"/>
          <w:szCs w:val="20"/>
          <w:lang w:val="sr-Cyrl-RS"/>
        </w:rPr>
        <w:t xml:space="preserve">публикују се </w:t>
      </w:r>
      <w:r w:rsidR="00F32202" w:rsidRPr="0007619F">
        <w:rPr>
          <w:rFonts w:asciiTheme="majorHAnsi" w:hAnsiTheme="majorHAnsi" w:cstheme="majorHAnsi"/>
          <w:sz w:val="20"/>
          <w:szCs w:val="20"/>
          <w:lang w:val="sr-Cyrl-RS"/>
        </w:rPr>
        <w:t xml:space="preserve">само једном и не </w:t>
      </w:r>
      <w:r w:rsidR="00324484" w:rsidRPr="0007619F">
        <w:rPr>
          <w:rFonts w:asciiTheme="majorHAnsi" w:hAnsiTheme="majorHAnsi" w:cstheme="majorHAnsi"/>
          <w:sz w:val="20"/>
          <w:szCs w:val="20"/>
          <w:lang w:val="sr-Cyrl-RS"/>
        </w:rPr>
        <w:t>ревидирају се</w:t>
      </w:r>
      <w:r w:rsidR="0010741C" w:rsidRPr="0007619F">
        <w:rPr>
          <w:rFonts w:asciiTheme="majorHAnsi" w:hAnsiTheme="majorHAnsi" w:cstheme="majorHAnsi"/>
          <w:sz w:val="20"/>
          <w:szCs w:val="20"/>
          <w:lang w:val="sr-Latn-RS"/>
        </w:rPr>
        <w:t xml:space="preserve"> (</w:t>
      </w:r>
      <w:r w:rsidR="0010741C" w:rsidRPr="0007619F">
        <w:rPr>
          <w:rFonts w:asciiTheme="majorHAnsi" w:hAnsiTheme="majorHAnsi" w:cstheme="majorHAnsi"/>
          <w:sz w:val="20"/>
          <w:szCs w:val="20"/>
          <w:lang w:val="sr-Cyrl-RS"/>
        </w:rPr>
        <w:t>осим у случају великих ревизија</w:t>
      </w:r>
      <w:r w:rsidR="0010741C" w:rsidRPr="0007619F">
        <w:rPr>
          <w:rStyle w:val="FootnoteReference"/>
          <w:rFonts w:asciiTheme="majorHAnsi" w:hAnsiTheme="majorHAnsi" w:cstheme="majorHAnsi"/>
          <w:sz w:val="20"/>
          <w:szCs w:val="20"/>
          <w:lang w:val="sr-Cyrl-RS"/>
        </w:rPr>
        <w:footnoteReference w:id="3"/>
      </w:r>
      <w:r w:rsidR="0010741C" w:rsidRPr="0007619F">
        <w:rPr>
          <w:rFonts w:asciiTheme="majorHAnsi" w:hAnsiTheme="majorHAnsi" w:cstheme="majorHAnsi"/>
          <w:sz w:val="20"/>
          <w:szCs w:val="20"/>
          <w:lang w:val="sr-Cyrl-RS"/>
        </w:rPr>
        <w:t>).</w:t>
      </w:r>
    </w:p>
    <w:p w:rsidR="00533639" w:rsidRPr="006C7B09" w:rsidRDefault="00533639" w:rsidP="00533639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  <w:lang w:val="sr-Cyrl-RS"/>
        </w:rPr>
      </w:pPr>
    </w:p>
    <w:p w:rsidR="00F32202" w:rsidRPr="006C7B09" w:rsidRDefault="00F32202" w:rsidP="00533639">
      <w:pPr>
        <w:spacing w:after="0" w:line="276" w:lineRule="auto"/>
        <w:jc w:val="both"/>
        <w:rPr>
          <w:rFonts w:asciiTheme="majorHAnsi" w:hAnsiTheme="majorHAnsi" w:cstheme="majorHAnsi"/>
          <w:lang w:val="sr-Cyrl-RS"/>
        </w:rPr>
      </w:pPr>
      <w:r w:rsidRPr="006C7B09">
        <w:rPr>
          <w:rFonts w:asciiTheme="majorHAnsi" w:hAnsiTheme="majorHAnsi" w:cstheme="majorHAnsi"/>
          <w:sz w:val="20"/>
          <w:szCs w:val="20"/>
          <w:lang w:val="sr-Cyrl-RS"/>
        </w:rPr>
        <w:t xml:space="preserve">Ревизија статистике државних финансија </w:t>
      </w:r>
      <w:r w:rsidR="007D1365" w:rsidRPr="006C7B09">
        <w:rPr>
          <w:rFonts w:asciiTheme="majorHAnsi" w:hAnsiTheme="majorHAnsi" w:cstheme="majorHAnsi"/>
          <w:sz w:val="20"/>
          <w:szCs w:val="20"/>
          <w:lang w:val="sr-Cyrl-RS"/>
        </w:rPr>
        <w:t>у овом тренутку</w:t>
      </w:r>
      <w:r w:rsidRPr="006C7B09">
        <w:rPr>
          <w:rFonts w:asciiTheme="majorHAnsi" w:hAnsiTheme="majorHAnsi" w:cstheme="majorHAnsi"/>
          <w:sz w:val="20"/>
          <w:szCs w:val="20"/>
          <w:lang w:val="sr-Cyrl-RS"/>
        </w:rPr>
        <w:t xml:space="preserve"> </w:t>
      </w:r>
      <w:r w:rsidR="007D1365" w:rsidRPr="006C7B09">
        <w:rPr>
          <w:rFonts w:asciiTheme="majorHAnsi" w:hAnsiTheme="majorHAnsi" w:cstheme="majorHAnsi"/>
          <w:sz w:val="20"/>
          <w:szCs w:val="20"/>
          <w:lang w:val="sr-Cyrl-RS"/>
        </w:rPr>
        <w:t>следи</w:t>
      </w:r>
      <w:r w:rsidRPr="006C7B09">
        <w:rPr>
          <w:rFonts w:asciiTheme="majorHAnsi" w:hAnsiTheme="majorHAnsi" w:cstheme="majorHAnsi"/>
          <w:sz w:val="20"/>
          <w:szCs w:val="20"/>
          <w:lang w:val="sr-Cyrl-RS"/>
        </w:rPr>
        <w:t xml:space="preserve"> праксу ревизиј</w:t>
      </w:r>
      <w:r w:rsidR="007D1365" w:rsidRPr="006C7B09">
        <w:rPr>
          <w:rFonts w:asciiTheme="majorHAnsi" w:hAnsiTheme="majorHAnsi" w:cstheme="majorHAnsi"/>
          <w:sz w:val="20"/>
          <w:szCs w:val="20"/>
          <w:lang w:val="sr-Cyrl-RS"/>
        </w:rPr>
        <w:t>а</w:t>
      </w:r>
      <w:r w:rsidRPr="006C7B09">
        <w:rPr>
          <w:rFonts w:asciiTheme="majorHAnsi" w:hAnsiTheme="majorHAnsi" w:cstheme="majorHAnsi"/>
          <w:sz w:val="20"/>
          <w:szCs w:val="20"/>
          <w:lang w:val="sr-Cyrl-RS"/>
        </w:rPr>
        <w:t xml:space="preserve"> </w:t>
      </w:r>
      <w:r w:rsidR="007D1365" w:rsidRPr="006C7B09">
        <w:rPr>
          <w:rFonts w:asciiTheme="majorHAnsi" w:hAnsiTheme="majorHAnsi" w:cstheme="majorHAnsi"/>
          <w:sz w:val="20"/>
          <w:szCs w:val="20"/>
          <w:lang w:val="sr-Cyrl-RS"/>
        </w:rPr>
        <w:t xml:space="preserve">годишњих </w:t>
      </w:r>
      <w:r w:rsidRPr="006C7B09">
        <w:rPr>
          <w:rFonts w:asciiTheme="majorHAnsi" w:hAnsiTheme="majorHAnsi" w:cstheme="majorHAnsi"/>
          <w:sz w:val="20"/>
          <w:szCs w:val="20"/>
          <w:lang w:val="sr-Cyrl-RS"/>
        </w:rPr>
        <w:t>националних рачуна.</w:t>
      </w:r>
    </w:p>
    <w:p w:rsidR="00341C68" w:rsidRPr="006C7B09" w:rsidRDefault="00341C68" w:rsidP="00F32202">
      <w:pPr>
        <w:rPr>
          <w:rFonts w:asciiTheme="majorHAnsi" w:eastAsiaTheme="minorHAnsi" w:hAnsiTheme="majorHAnsi" w:cstheme="majorHAnsi"/>
          <w:b/>
          <w:lang w:val="sr-Cyrl-RS"/>
        </w:rPr>
      </w:pPr>
    </w:p>
    <w:p w:rsidR="00341C68" w:rsidRPr="006C7B09" w:rsidRDefault="00341C68" w:rsidP="00F32202">
      <w:pPr>
        <w:rPr>
          <w:rFonts w:asciiTheme="majorHAnsi" w:eastAsiaTheme="minorHAnsi" w:hAnsiTheme="majorHAnsi" w:cstheme="majorHAnsi"/>
          <w:b/>
          <w:lang w:val="sr-Cyrl-RS"/>
        </w:rPr>
      </w:pPr>
    </w:p>
    <w:p w:rsidR="00341C68" w:rsidRPr="006C7B09" w:rsidRDefault="00341C68" w:rsidP="00F32202">
      <w:pPr>
        <w:rPr>
          <w:rFonts w:asciiTheme="majorHAnsi" w:eastAsiaTheme="minorHAnsi" w:hAnsiTheme="majorHAnsi" w:cstheme="majorHAnsi"/>
          <w:b/>
          <w:lang w:val="sr-Cyrl-RS"/>
        </w:rPr>
      </w:pPr>
    </w:p>
    <w:p w:rsidR="00551F58" w:rsidRPr="006C7B09" w:rsidRDefault="001E30C2" w:rsidP="00551F58">
      <w:pPr>
        <w:pStyle w:val="Heading1"/>
        <w:rPr>
          <w:rFonts w:cstheme="majorHAnsi"/>
        </w:rPr>
      </w:pPr>
      <w:bookmarkStart w:id="4" w:name="_Toc52283276"/>
      <w:r w:rsidRPr="006C7B09">
        <w:rPr>
          <w:rFonts w:cstheme="majorHAnsi"/>
          <w:lang w:val="sr-Cyrl-RS"/>
        </w:rPr>
        <w:lastRenderedPageBreak/>
        <w:t xml:space="preserve">Велике </w:t>
      </w:r>
      <w:r w:rsidR="005D72CC">
        <w:rPr>
          <w:rFonts w:cstheme="majorHAnsi"/>
          <w:lang w:val="sr-Cyrl-RS"/>
        </w:rPr>
        <w:t xml:space="preserve">редовне </w:t>
      </w:r>
      <w:r w:rsidR="00756E52" w:rsidRPr="006C7B09">
        <w:rPr>
          <w:rFonts w:cstheme="majorHAnsi"/>
          <w:lang w:val="sr-Latn-RS"/>
        </w:rPr>
        <w:t>(</w:t>
      </w:r>
      <w:r w:rsidR="00756E52" w:rsidRPr="006C7B09">
        <w:rPr>
          <w:rFonts w:cstheme="majorHAnsi"/>
          <w:lang w:val="sr-Cyrl-RS"/>
        </w:rPr>
        <w:t xml:space="preserve">бенчмарк) </w:t>
      </w:r>
      <w:r w:rsidRPr="006C7B09">
        <w:rPr>
          <w:rFonts w:cstheme="majorHAnsi"/>
          <w:lang w:val="sr-Cyrl-RS"/>
        </w:rPr>
        <w:t>ревизије</w:t>
      </w:r>
      <w:bookmarkEnd w:id="4"/>
      <w:r w:rsidR="008A2646" w:rsidRPr="006C7B09">
        <w:rPr>
          <w:rFonts w:cstheme="majorHAnsi"/>
          <w:lang w:val="sr-Latn-RS"/>
        </w:rPr>
        <w:t xml:space="preserve"> </w:t>
      </w:r>
    </w:p>
    <w:p w:rsidR="001E30C2" w:rsidRDefault="001E30C2" w:rsidP="00113BB6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  <w:lang w:val="sr-Cyrl-RS"/>
        </w:rPr>
      </w:pPr>
      <w:r w:rsidRPr="006C7B09">
        <w:rPr>
          <w:rFonts w:asciiTheme="majorHAnsi" w:hAnsiTheme="majorHAnsi" w:cstheme="majorHAnsi"/>
          <w:sz w:val="20"/>
          <w:szCs w:val="20"/>
        </w:rPr>
        <w:br/>
      </w:r>
      <w:r w:rsidR="0002241A" w:rsidRPr="0002241A">
        <w:rPr>
          <w:rFonts w:asciiTheme="majorHAnsi" w:hAnsiTheme="majorHAnsi" w:cstheme="majorHAnsi"/>
          <w:sz w:val="20"/>
          <w:szCs w:val="20"/>
          <w:lang w:val="sr-Cyrl-RS"/>
        </w:rPr>
        <w:t>Велике редовне ревизије утичу на део</w:t>
      </w:r>
      <w:r w:rsidR="0084726E">
        <w:rPr>
          <w:rFonts w:asciiTheme="majorHAnsi" w:hAnsiTheme="majorHAnsi" w:cstheme="majorHAnsi"/>
          <w:sz w:val="20"/>
          <w:szCs w:val="20"/>
          <w:lang w:val="sr-Cyrl-RS"/>
        </w:rPr>
        <w:t xml:space="preserve"> расположиве</w:t>
      </w:r>
      <w:r w:rsidR="0002241A" w:rsidRPr="0002241A">
        <w:rPr>
          <w:rFonts w:asciiTheme="majorHAnsi" w:hAnsiTheme="majorHAnsi" w:cstheme="majorHAnsi"/>
          <w:sz w:val="20"/>
          <w:szCs w:val="20"/>
          <w:lang w:val="sr-Cyrl-RS"/>
        </w:rPr>
        <w:t xml:space="preserve"> временске серије, а понекад чак и на комплетну временску серију. Због тога је неопходно извршити </w:t>
      </w:r>
      <w:r w:rsidR="0002241A">
        <w:rPr>
          <w:rFonts w:asciiTheme="majorHAnsi" w:hAnsiTheme="majorHAnsi" w:cstheme="majorHAnsi"/>
          <w:sz w:val="20"/>
          <w:szCs w:val="20"/>
          <w:lang w:val="sr-Cyrl-RS"/>
        </w:rPr>
        <w:t>ревидирање</w:t>
      </w:r>
      <w:r w:rsidR="0002241A" w:rsidRPr="0002241A">
        <w:rPr>
          <w:rFonts w:asciiTheme="majorHAnsi" w:hAnsiTheme="majorHAnsi" w:cstheme="majorHAnsi"/>
          <w:sz w:val="20"/>
          <w:szCs w:val="20"/>
          <w:lang w:val="sr-Cyrl-RS"/>
        </w:rPr>
        <w:t xml:space="preserve"> података како би се добила упоредива серија података, избегавајући колико год је то могуће било какве прекиде у</w:t>
      </w:r>
      <w:r w:rsidR="0002241A">
        <w:rPr>
          <w:rFonts w:asciiTheme="majorHAnsi" w:hAnsiTheme="majorHAnsi" w:cstheme="majorHAnsi"/>
          <w:sz w:val="20"/>
          <w:szCs w:val="20"/>
          <w:lang w:val="sr-Cyrl-RS"/>
        </w:rPr>
        <w:t xml:space="preserve"> расположивој серији</w:t>
      </w:r>
      <w:r w:rsidR="0002241A" w:rsidRPr="0002241A">
        <w:rPr>
          <w:rFonts w:asciiTheme="majorHAnsi" w:hAnsiTheme="majorHAnsi" w:cstheme="majorHAnsi"/>
          <w:sz w:val="20"/>
          <w:szCs w:val="20"/>
          <w:lang w:val="sr-Cyrl-RS"/>
        </w:rPr>
        <w:t xml:space="preserve"> података.</w:t>
      </w:r>
    </w:p>
    <w:p w:rsidR="00533639" w:rsidRDefault="00533639" w:rsidP="00113BB6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  <w:lang w:val="sr-Cyrl-RS"/>
        </w:rPr>
      </w:pPr>
    </w:p>
    <w:p w:rsidR="0002241A" w:rsidRDefault="0002241A" w:rsidP="00113BB6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  <w:lang w:val="sr-Cyrl-RS"/>
        </w:rPr>
      </w:pPr>
      <w:r w:rsidRPr="0002241A">
        <w:rPr>
          <w:rFonts w:asciiTheme="majorHAnsi" w:hAnsiTheme="majorHAnsi" w:cstheme="majorHAnsi"/>
          <w:sz w:val="20"/>
          <w:szCs w:val="20"/>
          <w:lang w:val="sr-Cyrl-RS"/>
        </w:rPr>
        <w:t>Последњих година направљен је низ значајних промена у н</w:t>
      </w:r>
      <w:r w:rsidR="00596FD2">
        <w:rPr>
          <w:rFonts w:asciiTheme="majorHAnsi" w:hAnsiTheme="majorHAnsi" w:cstheme="majorHAnsi"/>
          <w:sz w:val="20"/>
          <w:szCs w:val="20"/>
          <w:lang w:val="sr-Cyrl-RS"/>
        </w:rPr>
        <w:t>ационалним рачунима, што је био разлог за спровођење</w:t>
      </w:r>
      <w:r w:rsidRPr="0002241A">
        <w:rPr>
          <w:rFonts w:asciiTheme="majorHAnsi" w:hAnsiTheme="majorHAnsi" w:cstheme="majorHAnsi"/>
          <w:sz w:val="20"/>
          <w:szCs w:val="20"/>
          <w:lang w:val="sr-Cyrl-RS"/>
        </w:rPr>
        <w:t xml:space="preserve"> велики</w:t>
      </w:r>
      <w:r w:rsidR="00596FD2">
        <w:rPr>
          <w:rFonts w:asciiTheme="majorHAnsi" w:hAnsiTheme="majorHAnsi" w:cstheme="majorHAnsi"/>
          <w:sz w:val="20"/>
          <w:szCs w:val="20"/>
          <w:lang w:val="sr-Cyrl-RS"/>
        </w:rPr>
        <w:t>х ревизија.</w:t>
      </w:r>
    </w:p>
    <w:p w:rsidR="00533639" w:rsidRDefault="00533639" w:rsidP="00113BB6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  <w:lang w:val="sr-Cyrl-RS"/>
        </w:rPr>
      </w:pPr>
    </w:p>
    <w:p w:rsidR="0002241A" w:rsidRPr="006C7B09" w:rsidRDefault="0002241A" w:rsidP="00113BB6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  <w:lang w:val="sr-Cyrl-RS"/>
        </w:rPr>
      </w:pPr>
      <w:r w:rsidRPr="006C7B09">
        <w:rPr>
          <w:rFonts w:asciiTheme="majorHAnsi" w:hAnsiTheme="majorHAnsi" w:cstheme="majorHAnsi"/>
          <w:sz w:val="20"/>
          <w:szCs w:val="20"/>
          <w:lang w:val="sr-Cyrl-RS"/>
        </w:rPr>
        <w:t>Велике ревизије спроводе се у вишегодишњој периодици (обично између пет и десет година).</w:t>
      </w:r>
    </w:p>
    <w:p w:rsidR="001E30C2" w:rsidRPr="006C7B09" w:rsidRDefault="00545CDD" w:rsidP="00113BB6">
      <w:p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C7B09">
        <w:rPr>
          <w:rFonts w:asciiTheme="majorHAnsi" w:hAnsiTheme="majorHAnsi" w:cstheme="majorHAnsi"/>
          <w:sz w:val="20"/>
          <w:szCs w:val="20"/>
          <w:lang w:val="sr-Cyrl-RS"/>
        </w:rPr>
        <w:t>Велике</w:t>
      </w:r>
      <w:r w:rsidR="001E30C2" w:rsidRPr="006C7B09">
        <w:rPr>
          <w:rFonts w:asciiTheme="majorHAnsi" w:hAnsiTheme="majorHAnsi" w:cstheme="majorHAnsi"/>
          <w:sz w:val="20"/>
          <w:szCs w:val="20"/>
          <w:lang w:val="sr-Cyrl-RS"/>
        </w:rPr>
        <w:t xml:space="preserve"> ревизије </w:t>
      </w:r>
      <w:r w:rsidRPr="006C7B09">
        <w:rPr>
          <w:rFonts w:asciiTheme="majorHAnsi" w:hAnsiTheme="majorHAnsi" w:cstheme="majorHAnsi"/>
          <w:sz w:val="20"/>
          <w:szCs w:val="20"/>
          <w:lang w:val="sr-Cyrl-RS"/>
        </w:rPr>
        <w:t xml:space="preserve">су </w:t>
      </w:r>
      <w:r w:rsidR="001E30C2" w:rsidRPr="006C7B09">
        <w:rPr>
          <w:rFonts w:asciiTheme="majorHAnsi" w:hAnsiTheme="majorHAnsi" w:cstheme="majorHAnsi"/>
          <w:sz w:val="20"/>
          <w:szCs w:val="20"/>
          <w:lang w:val="sr-Cyrl-RS"/>
        </w:rPr>
        <w:t xml:space="preserve">планиране и </w:t>
      </w:r>
      <w:r w:rsidRPr="006C7B09">
        <w:rPr>
          <w:rFonts w:asciiTheme="majorHAnsi" w:hAnsiTheme="majorHAnsi" w:cstheme="majorHAnsi"/>
          <w:sz w:val="20"/>
          <w:szCs w:val="20"/>
          <w:lang w:val="sr-Cyrl-RS"/>
        </w:rPr>
        <w:t xml:space="preserve">веома </w:t>
      </w:r>
      <w:r w:rsidR="001E30C2" w:rsidRPr="006C7B09">
        <w:rPr>
          <w:rFonts w:asciiTheme="majorHAnsi" w:hAnsiTheme="majorHAnsi" w:cstheme="majorHAnsi"/>
          <w:sz w:val="20"/>
          <w:szCs w:val="20"/>
          <w:lang w:val="sr-Cyrl-RS"/>
        </w:rPr>
        <w:t>значајне</w:t>
      </w:r>
      <w:r w:rsidRPr="006C7B09">
        <w:rPr>
          <w:rFonts w:asciiTheme="majorHAnsi" w:hAnsiTheme="majorHAnsi" w:cstheme="majorHAnsi"/>
          <w:sz w:val="20"/>
          <w:szCs w:val="20"/>
          <w:lang w:val="sr-Cyrl-RS"/>
        </w:rPr>
        <w:t xml:space="preserve"> из</w:t>
      </w:r>
      <w:r w:rsidR="001E30C2" w:rsidRPr="006C7B09">
        <w:rPr>
          <w:rFonts w:asciiTheme="majorHAnsi" w:hAnsiTheme="majorHAnsi" w:cstheme="majorHAnsi"/>
          <w:sz w:val="20"/>
          <w:szCs w:val="20"/>
          <w:lang w:val="sr-Cyrl-RS"/>
        </w:rPr>
        <w:t>мене објављени</w:t>
      </w:r>
      <w:r w:rsidRPr="006C7B09">
        <w:rPr>
          <w:rFonts w:asciiTheme="majorHAnsi" w:hAnsiTheme="majorHAnsi" w:cstheme="majorHAnsi"/>
          <w:sz w:val="20"/>
          <w:szCs w:val="20"/>
          <w:lang w:val="sr-Cyrl-RS"/>
        </w:rPr>
        <w:t>х</w:t>
      </w:r>
      <w:r w:rsidR="001E30C2" w:rsidRPr="006C7B09">
        <w:rPr>
          <w:rFonts w:asciiTheme="majorHAnsi" w:hAnsiTheme="majorHAnsi" w:cstheme="majorHAnsi"/>
          <w:sz w:val="20"/>
          <w:szCs w:val="20"/>
          <w:lang w:val="sr-Cyrl-RS"/>
        </w:rPr>
        <w:t xml:space="preserve"> </w:t>
      </w:r>
      <w:r w:rsidRPr="006C7B09">
        <w:rPr>
          <w:rFonts w:asciiTheme="majorHAnsi" w:hAnsiTheme="majorHAnsi" w:cstheme="majorHAnsi"/>
          <w:sz w:val="20"/>
          <w:szCs w:val="20"/>
          <w:lang w:val="sr-Cyrl-RS"/>
        </w:rPr>
        <w:t>статистичких</w:t>
      </w:r>
      <w:r w:rsidR="001E30C2" w:rsidRPr="006C7B09">
        <w:rPr>
          <w:rFonts w:asciiTheme="majorHAnsi" w:hAnsiTheme="majorHAnsi" w:cstheme="majorHAnsi"/>
          <w:sz w:val="20"/>
          <w:szCs w:val="20"/>
          <w:lang w:val="sr-Cyrl-RS"/>
        </w:rPr>
        <w:t xml:space="preserve"> пода</w:t>
      </w:r>
      <w:r w:rsidRPr="006C7B09">
        <w:rPr>
          <w:rFonts w:asciiTheme="majorHAnsi" w:hAnsiTheme="majorHAnsi" w:cstheme="majorHAnsi"/>
          <w:sz w:val="20"/>
          <w:szCs w:val="20"/>
          <w:lang w:val="sr-Cyrl-RS"/>
        </w:rPr>
        <w:t>така,</w:t>
      </w:r>
      <w:r w:rsidR="001E30C2" w:rsidRPr="006C7B09">
        <w:rPr>
          <w:rFonts w:asciiTheme="majorHAnsi" w:hAnsiTheme="majorHAnsi" w:cstheme="majorHAnsi"/>
          <w:sz w:val="20"/>
          <w:szCs w:val="20"/>
          <w:lang w:val="sr-Cyrl-RS"/>
        </w:rPr>
        <w:t xml:space="preserve"> које се </w:t>
      </w:r>
      <w:r w:rsidRPr="006C7B09">
        <w:rPr>
          <w:rFonts w:asciiTheme="majorHAnsi" w:hAnsiTheme="majorHAnsi" w:cstheme="majorHAnsi"/>
          <w:sz w:val="20"/>
          <w:szCs w:val="20"/>
          <w:lang w:val="sr-Cyrl-RS"/>
        </w:rPr>
        <w:t>спроводе због</w:t>
      </w:r>
      <w:r w:rsidR="001E30C2" w:rsidRPr="006C7B09">
        <w:rPr>
          <w:rFonts w:asciiTheme="majorHAnsi" w:hAnsiTheme="majorHAnsi" w:cstheme="majorHAnsi"/>
          <w:sz w:val="20"/>
          <w:szCs w:val="20"/>
          <w:lang w:val="sr-Cyrl-RS"/>
        </w:rPr>
        <w:t xml:space="preserve"> једног или више разлога:</w:t>
      </w:r>
      <w:r w:rsidR="0010583E" w:rsidRPr="006C7B09">
        <w:rPr>
          <w:rFonts w:asciiTheme="majorHAnsi" w:hAnsiTheme="majorHAnsi" w:cstheme="majorHAnsi"/>
          <w:sz w:val="20"/>
          <w:szCs w:val="20"/>
        </w:rPr>
        <w:t xml:space="preserve"> </w:t>
      </w:r>
    </w:p>
    <w:p w:rsidR="001E30C2" w:rsidRPr="006C7B09" w:rsidRDefault="003E6EF1" w:rsidP="00C020A1">
      <w:pPr>
        <w:pStyle w:val="ListParagraph"/>
        <w:numPr>
          <w:ilvl w:val="0"/>
          <w:numId w:val="25"/>
        </w:numPr>
        <w:jc w:val="both"/>
        <w:rPr>
          <w:rFonts w:asciiTheme="majorHAnsi" w:hAnsiTheme="majorHAnsi" w:cstheme="majorHAnsi"/>
          <w:sz w:val="20"/>
          <w:szCs w:val="20"/>
          <w:lang w:val="sr-Cyrl-RS"/>
        </w:rPr>
      </w:pPr>
      <w:r w:rsidRPr="006C7B09">
        <w:rPr>
          <w:rFonts w:asciiTheme="majorHAnsi" w:hAnsiTheme="majorHAnsi" w:cstheme="majorHAnsi"/>
          <w:sz w:val="20"/>
          <w:szCs w:val="20"/>
          <w:lang w:val="sr-Cyrl-RS"/>
        </w:rPr>
        <w:t>расположивост нових података који се прикупљају у вишегодишњој периодици (5–10 година), као што су пописи (становништва, пољопривреде, економије), инпут-аутпут табеле итд.</w:t>
      </w:r>
      <w:r w:rsidR="001E30C2" w:rsidRPr="006C7B09">
        <w:rPr>
          <w:rFonts w:asciiTheme="majorHAnsi" w:hAnsiTheme="majorHAnsi" w:cstheme="majorHAnsi"/>
          <w:sz w:val="20"/>
          <w:szCs w:val="20"/>
          <w:lang w:val="sr-Cyrl-RS"/>
        </w:rPr>
        <w:t>;</w:t>
      </w:r>
    </w:p>
    <w:p w:rsidR="001E30C2" w:rsidRPr="006C7B09" w:rsidRDefault="00545CDD">
      <w:pPr>
        <w:pStyle w:val="ListParagraph"/>
        <w:numPr>
          <w:ilvl w:val="0"/>
          <w:numId w:val="25"/>
        </w:numPr>
        <w:jc w:val="both"/>
        <w:rPr>
          <w:rFonts w:asciiTheme="majorHAnsi" w:hAnsiTheme="majorHAnsi" w:cstheme="majorHAnsi"/>
          <w:sz w:val="20"/>
          <w:szCs w:val="20"/>
          <w:lang w:val="sr-Cyrl-RS"/>
        </w:rPr>
      </w:pPr>
      <w:r w:rsidRPr="006C7B09">
        <w:rPr>
          <w:rFonts w:asciiTheme="majorHAnsi" w:hAnsiTheme="majorHAnsi" w:cstheme="majorHAnsi"/>
          <w:sz w:val="20"/>
          <w:szCs w:val="20"/>
          <w:lang w:val="sr-Cyrl-RS"/>
        </w:rPr>
        <w:t xml:space="preserve">расположивост </w:t>
      </w:r>
      <w:r w:rsidR="001E30C2" w:rsidRPr="006C7B09">
        <w:rPr>
          <w:rFonts w:asciiTheme="majorHAnsi" w:hAnsiTheme="majorHAnsi" w:cstheme="majorHAnsi"/>
          <w:sz w:val="20"/>
          <w:szCs w:val="20"/>
          <w:lang w:val="sr-Cyrl-RS"/>
        </w:rPr>
        <w:t>нових извора података (нова статистичка истраживања или административни извор</w:t>
      </w:r>
      <w:r w:rsidR="00091573" w:rsidRPr="006C7B09">
        <w:rPr>
          <w:rFonts w:asciiTheme="majorHAnsi" w:hAnsiTheme="majorHAnsi" w:cstheme="majorHAnsi"/>
          <w:sz w:val="20"/>
          <w:szCs w:val="20"/>
          <w:lang w:val="sr-Cyrl-RS"/>
        </w:rPr>
        <w:t xml:space="preserve"> </w:t>
      </w:r>
      <w:r w:rsidR="001E30C2" w:rsidRPr="006C7B09">
        <w:rPr>
          <w:rFonts w:asciiTheme="majorHAnsi" w:hAnsiTheme="majorHAnsi" w:cstheme="majorHAnsi"/>
          <w:sz w:val="20"/>
          <w:szCs w:val="20"/>
          <w:lang w:val="sr-Cyrl-RS"/>
        </w:rPr>
        <w:t>података);</w:t>
      </w:r>
    </w:p>
    <w:p w:rsidR="001E30C2" w:rsidRPr="006C7B09" w:rsidRDefault="001E30C2">
      <w:pPr>
        <w:pStyle w:val="ListParagraph"/>
        <w:numPr>
          <w:ilvl w:val="0"/>
          <w:numId w:val="25"/>
        </w:numPr>
        <w:jc w:val="both"/>
        <w:rPr>
          <w:rFonts w:asciiTheme="majorHAnsi" w:hAnsiTheme="majorHAnsi" w:cstheme="majorHAnsi"/>
          <w:sz w:val="20"/>
          <w:szCs w:val="20"/>
          <w:lang w:val="sr-Cyrl-RS"/>
        </w:rPr>
      </w:pPr>
      <w:r w:rsidRPr="006C7B09">
        <w:rPr>
          <w:rFonts w:asciiTheme="majorHAnsi" w:hAnsiTheme="majorHAnsi" w:cstheme="majorHAnsi"/>
          <w:sz w:val="20"/>
          <w:szCs w:val="20"/>
          <w:lang w:val="sr-Cyrl-RS"/>
        </w:rPr>
        <w:t>промен</w:t>
      </w:r>
      <w:r w:rsidR="003E6EF1" w:rsidRPr="006C7B09">
        <w:rPr>
          <w:rFonts w:asciiTheme="majorHAnsi" w:hAnsiTheme="majorHAnsi" w:cstheme="majorHAnsi"/>
          <w:sz w:val="20"/>
          <w:szCs w:val="20"/>
          <w:lang w:val="sr-Cyrl-RS"/>
        </w:rPr>
        <w:t>е</w:t>
      </w:r>
      <w:r w:rsidRPr="006C7B09">
        <w:rPr>
          <w:rFonts w:asciiTheme="majorHAnsi" w:hAnsiTheme="majorHAnsi" w:cstheme="majorHAnsi"/>
          <w:sz w:val="20"/>
          <w:szCs w:val="20"/>
          <w:lang w:val="sr-Cyrl-RS"/>
        </w:rPr>
        <w:t xml:space="preserve"> базне године </w:t>
      </w:r>
      <w:r w:rsidR="001109DA">
        <w:rPr>
          <w:rFonts w:ascii="Arial" w:hAnsi="Arial" w:cs="Arial"/>
          <w:sz w:val="20"/>
          <w:szCs w:val="20"/>
          <w:lang w:val="sr-Cyrl-RS"/>
        </w:rPr>
        <w:t>‒</w:t>
      </w:r>
      <w:r w:rsidRPr="006C7B09">
        <w:rPr>
          <w:rFonts w:asciiTheme="majorHAnsi" w:hAnsiTheme="majorHAnsi" w:cstheme="majorHAnsi"/>
          <w:sz w:val="20"/>
          <w:szCs w:val="20"/>
          <w:lang w:val="sr-Cyrl-RS"/>
        </w:rPr>
        <w:t xml:space="preserve"> примена новог </w:t>
      </w:r>
      <w:r w:rsidR="00091573" w:rsidRPr="006C7B09">
        <w:rPr>
          <w:rFonts w:asciiTheme="majorHAnsi" w:hAnsiTheme="majorHAnsi" w:cstheme="majorHAnsi"/>
          <w:sz w:val="20"/>
          <w:szCs w:val="20"/>
          <w:lang w:val="sr-Cyrl-RS"/>
        </w:rPr>
        <w:t xml:space="preserve">пондерационог </w:t>
      </w:r>
      <w:r w:rsidRPr="006C7B09">
        <w:rPr>
          <w:rFonts w:asciiTheme="majorHAnsi" w:hAnsiTheme="majorHAnsi" w:cstheme="majorHAnsi"/>
          <w:sz w:val="20"/>
          <w:szCs w:val="20"/>
          <w:lang w:val="sr-Cyrl-RS"/>
        </w:rPr>
        <w:t xml:space="preserve">система; </w:t>
      </w:r>
    </w:p>
    <w:p w:rsidR="001E30C2" w:rsidRPr="006C7B09" w:rsidRDefault="001E30C2">
      <w:pPr>
        <w:pStyle w:val="ListParagraph"/>
        <w:numPr>
          <w:ilvl w:val="0"/>
          <w:numId w:val="25"/>
        </w:numPr>
        <w:jc w:val="both"/>
        <w:rPr>
          <w:rFonts w:asciiTheme="majorHAnsi" w:hAnsiTheme="majorHAnsi" w:cstheme="majorHAnsi"/>
          <w:sz w:val="20"/>
          <w:szCs w:val="20"/>
          <w:lang w:val="sr-Cyrl-RS"/>
        </w:rPr>
      </w:pPr>
      <w:r w:rsidRPr="006C7B09">
        <w:rPr>
          <w:rFonts w:asciiTheme="majorHAnsi" w:hAnsiTheme="majorHAnsi" w:cstheme="majorHAnsi"/>
          <w:sz w:val="20"/>
          <w:szCs w:val="20"/>
          <w:lang w:val="sr-Cyrl-RS"/>
        </w:rPr>
        <w:t xml:space="preserve">промене </w:t>
      </w:r>
      <w:r w:rsidR="00091573" w:rsidRPr="006C7B09">
        <w:rPr>
          <w:rFonts w:asciiTheme="majorHAnsi" w:hAnsiTheme="majorHAnsi" w:cstheme="majorHAnsi"/>
          <w:sz w:val="20"/>
          <w:szCs w:val="20"/>
          <w:lang w:val="sr-Cyrl-RS"/>
        </w:rPr>
        <w:t xml:space="preserve">у </w:t>
      </w:r>
      <w:r w:rsidRPr="006C7B09">
        <w:rPr>
          <w:rFonts w:asciiTheme="majorHAnsi" w:hAnsiTheme="majorHAnsi" w:cstheme="majorHAnsi"/>
          <w:sz w:val="20"/>
          <w:szCs w:val="20"/>
          <w:lang w:val="sr-Cyrl-RS"/>
        </w:rPr>
        <w:t>концепт</w:t>
      </w:r>
      <w:r w:rsidR="00091573" w:rsidRPr="006C7B09">
        <w:rPr>
          <w:rFonts w:asciiTheme="majorHAnsi" w:hAnsiTheme="majorHAnsi" w:cstheme="majorHAnsi"/>
          <w:sz w:val="20"/>
          <w:szCs w:val="20"/>
          <w:lang w:val="sr-Cyrl-RS"/>
        </w:rPr>
        <w:t>им</w:t>
      </w:r>
      <w:r w:rsidRPr="006C7B09">
        <w:rPr>
          <w:rFonts w:asciiTheme="majorHAnsi" w:hAnsiTheme="majorHAnsi" w:cstheme="majorHAnsi"/>
          <w:sz w:val="20"/>
          <w:szCs w:val="20"/>
          <w:lang w:val="sr-Cyrl-RS"/>
        </w:rPr>
        <w:t>а, дефиниција</w:t>
      </w:r>
      <w:r w:rsidR="00091573" w:rsidRPr="006C7B09">
        <w:rPr>
          <w:rFonts w:asciiTheme="majorHAnsi" w:hAnsiTheme="majorHAnsi" w:cstheme="majorHAnsi"/>
          <w:sz w:val="20"/>
          <w:szCs w:val="20"/>
          <w:lang w:val="sr-Cyrl-RS"/>
        </w:rPr>
        <w:t>ма</w:t>
      </w:r>
      <w:r w:rsidRPr="006C7B09">
        <w:rPr>
          <w:rFonts w:asciiTheme="majorHAnsi" w:hAnsiTheme="majorHAnsi" w:cstheme="majorHAnsi"/>
          <w:sz w:val="20"/>
          <w:szCs w:val="20"/>
          <w:lang w:val="sr-Cyrl-RS"/>
        </w:rPr>
        <w:t xml:space="preserve"> и/или класификација</w:t>
      </w:r>
      <w:r w:rsidR="00091573" w:rsidRPr="006C7B09">
        <w:rPr>
          <w:rFonts w:asciiTheme="majorHAnsi" w:hAnsiTheme="majorHAnsi" w:cstheme="majorHAnsi"/>
          <w:sz w:val="20"/>
          <w:szCs w:val="20"/>
          <w:lang w:val="sr-Cyrl-RS"/>
        </w:rPr>
        <w:t>ма</w:t>
      </w:r>
      <w:r w:rsidRPr="006C7B09">
        <w:rPr>
          <w:rFonts w:asciiTheme="majorHAnsi" w:hAnsiTheme="majorHAnsi" w:cstheme="majorHAnsi"/>
          <w:sz w:val="20"/>
          <w:szCs w:val="20"/>
          <w:lang w:val="sr-Cyrl-RS"/>
        </w:rPr>
        <w:t xml:space="preserve"> (нпр. усвајање нове класификације или промене</w:t>
      </w:r>
      <w:r w:rsidR="00091573" w:rsidRPr="006C7B09">
        <w:rPr>
          <w:rFonts w:asciiTheme="majorHAnsi" w:hAnsiTheme="majorHAnsi" w:cstheme="majorHAnsi"/>
          <w:sz w:val="20"/>
          <w:szCs w:val="20"/>
          <w:lang w:val="sr-Cyrl-RS"/>
        </w:rPr>
        <w:t xml:space="preserve"> у</w:t>
      </w:r>
      <w:r w:rsidRPr="006C7B09">
        <w:rPr>
          <w:rFonts w:asciiTheme="majorHAnsi" w:hAnsiTheme="majorHAnsi" w:cstheme="majorHAnsi"/>
          <w:sz w:val="20"/>
          <w:szCs w:val="20"/>
          <w:lang w:val="sr-Cyrl-RS"/>
        </w:rPr>
        <w:t xml:space="preserve"> међународни</w:t>
      </w:r>
      <w:r w:rsidR="00091573" w:rsidRPr="006C7B09">
        <w:rPr>
          <w:rFonts w:asciiTheme="majorHAnsi" w:hAnsiTheme="majorHAnsi" w:cstheme="majorHAnsi"/>
          <w:sz w:val="20"/>
          <w:szCs w:val="20"/>
          <w:lang w:val="sr-Cyrl-RS"/>
        </w:rPr>
        <w:t>м</w:t>
      </w:r>
      <w:r w:rsidRPr="006C7B09">
        <w:rPr>
          <w:rFonts w:asciiTheme="majorHAnsi" w:hAnsiTheme="majorHAnsi" w:cstheme="majorHAnsi"/>
          <w:sz w:val="20"/>
          <w:szCs w:val="20"/>
          <w:lang w:val="sr-Cyrl-RS"/>
        </w:rPr>
        <w:t xml:space="preserve"> статистички</w:t>
      </w:r>
      <w:r w:rsidR="00091573" w:rsidRPr="006C7B09">
        <w:rPr>
          <w:rFonts w:asciiTheme="majorHAnsi" w:hAnsiTheme="majorHAnsi" w:cstheme="majorHAnsi"/>
          <w:sz w:val="20"/>
          <w:szCs w:val="20"/>
          <w:lang w:val="sr-Cyrl-RS"/>
        </w:rPr>
        <w:t>м</w:t>
      </w:r>
      <w:r w:rsidRPr="006C7B09">
        <w:rPr>
          <w:rFonts w:asciiTheme="majorHAnsi" w:hAnsiTheme="majorHAnsi" w:cstheme="majorHAnsi"/>
          <w:sz w:val="20"/>
          <w:szCs w:val="20"/>
          <w:lang w:val="sr-Cyrl-RS"/>
        </w:rPr>
        <w:t xml:space="preserve"> стандард</w:t>
      </w:r>
      <w:r w:rsidR="00091573" w:rsidRPr="006C7B09">
        <w:rPr>
          <w:rFonts w:asciiTheme="majorHAnsi" w:hAnsiTheme="majorHAnsi" w:cstheme="majorHAnsi"/>
          <w:sz w:val="20"/>
          <w:szCs w:val="20"/>
          <w:lang w:val="sr-Cyrl-RS"/>
        </w:rPr>
        <w:t>им</w:t>
      </w:r>
      <w:r w:rsidRPr="006C7B09">
        <w:rPr>
          <w:rFonts w:asciiTheme="majorHAnsi" w:hAnsiTheme="majorHAnsi" w:cstheme="majorHAnsi"/>
          <w:sz w:val="20"/>
          <w:szCs w:val="20"/>
          <w:lang w:val="sr-Cyrl-RS"/>
        </w:rPr>
        <w:t xml:space="preserve">а); </w:t>
      </w:r>
    </w:p>
    <w:p w:rsidR="00C020A1" w:rsidRPr="006C7B09" w:rsidRDefault="003E6EF1">
      <w:pPr>
        <w:pStyle w:val="ListParagraph"/>
        <w:numPr>
          <w:ilvl w:val="0"/>
          <w:numId w:val="25"/>
        </w:numPr>
        <w:jc w:val="both"/>
        <w:rPr>
          <w:rFonts w:asciiTheme="majorHAnsi" w:hAnsiTheme="majorHAnsi" w:cstheme="majorHAnsi"/>
          <w:sz w:val="20"/>
          <w:szCs w:val="20"/>
          <w:lang w:val="sr-Cyrl-RS"/>
        </w:rPr>
      </w:pPr>
      <w:r w:rsidRPr="006C7B09">
        <w:rPr>
          <w:rFonts w:asciiTheme="majorHAnsi" w:hAnsiTheme="majorHAnsi" w:cstheme="majorHAnsi"/>
          <w:sz w:val="20"/>
          <w:szCs w:val="20"/>
          <w:lang w:val="sr-Cyrl-RS"/>
        </w:rPr>
        <w:t>унапређењ</w:t>
      </w:r>
      <w:r w:rsidR="00091573" w:rsidRPr="006C7B09">
        <w:rPr>
          <w:rFonts w:asciiTheme="majorHAnsi" w:hAnsiTheme="majorHAnsi" w:cstheme="majorHAnsi"/>
          <w:sz w:val="20"/>
          <w:szCs w:val="20"/>
          <w:lang w:val="sr-Cyrl-RS"/>
        </w:rPr>
        <w:t>а</w:t>
      </w:r>
      <w:r w:rsidR="001E30C2" w:rsidRPr="006C7B09">
        <w:rPr>
          <w:rFonts w:asciiTheme="majorHAnsi" w:hAnsiTheme="majorHAnsi" w:cstheme="majorHAnsi"/>
          <w:sz w:val="20"/>
          <w:szCs w:val="20"/>
          <w:lang w:val="sr-Cyrl-RS"/>
        </w:rPr>
        <w:t xml:space="preserve"> методолошки</w:t>
      </w:r>
      <w:r w:rsidRPr="006C7B09">
        <w:rPr>
          <w:rFonts w:asciiTheme="majorHAnsi" w:hAnsiTheme="majorHAnsi" w:cstheme="majorHAnsi"/>
          <w:sz w:val="20"/>
          <w:szCs w:val="20"/>
          <w:lang w:val="sr-Cyrl-RS"/>
        </w:rPr>
        <w:t>х</w:t>
      </w:r>
      <w:r w:rsidR="001E30C2" w:rsidRPr="006C7B09">
        <w:rPr>
          <w:rFonts w:asciiTheme="majorHAnsi" w:hAnsiTheme="majorHAnsi" w:cstheme="majorHAnsi"/>
          <w:sz w:val="20"/>
          <w:szCs w:val="20"/>
          <w:lang w:val="sr-Cyrl-RS"/>
        </w:rPr>
        <w:t xml:space="preserve"> п</w:t>
      </w:r>
      <w:r w:rsidRPr="006C7B09">
        <w:rPr>
          <w:rFonts w:asciiTheme="majorHAnsi" w:hAnsiTheme="majorHAnsi" w:cstheme="majorHAnsi"/>
          <w:sz w:val="20"/>
          <w:szCs w:val="20"/>
          <w:lang w:val="sr-Cyrl-RS"/>
        </w:rPr>
        <w:t>роцедур</w:t>
      </w:r>
      <w:r w:rsidR="001E30C2" w:rsidRPr="006C7B09">
        <w:rPr>
          <w:rFonts w:asciiTheme="majorHAnsi" w:hAnsiTheme="majorHAnsi" w:cstheme="majorHAnsi"/>
          <w:sz w:val="20"/>
          <w:szCs w:val="20"/>
          <w:lang w:val="sr-Cyrl-RS"/>
        </w:rPr>
        <w:t xml:space="preserve">а; </w:t>
      </w:r>
    </w:p>
    <w:p w:rsidR="00C020A1" w:rsidRDefault="00091573" w:rsidP="00533639">
      <w:pPr>
        <w:pStyle w:val="ListParagraph"/>
        <w:numPr>
          <w:ilvl w:val="0"/>
          <w:numId w:val="25"/>
        </w:numPr>
        <w:spacing w:after="0" w:line="276" w:lineRule="auto"/>
        <w:jc w:val="both"/>
        <w:rPr>
          <w:rFonts w:asciiTheme="majorHAnsi" w:hAnsiTheme="majorHAnsi" w:cstheme="majorHAnsi"/>
          <w:lang w:val="sr-Cyrl-RS"/>
        </w:rPr>
      </w:pPr>
      <w:r w:rsidRPr="006C7B09">
        <w:rPr>
          <w:rFonts w:asciiTheme="majorHAnsi" w:hAnsiTheme="majorHAnsi" w:cstheme="majorHAnsi"/>
          <w:sz w:val="20"/>
          <w:szCs w:val="20"/>
          <w:lang w:val="sr-Cyrl-RS"/>
        </w:rPr>
        <w:t>измене</w:t>
      </w:r>
      <w:r w:rsidR="001E30C2" w:rsidRPr="006C7B09">
        <w:rPr>
          <w:rFonts w:asciiTheme="majorHAnsi" w:hAnsiTheme="majorHAnsi" w:cstheme="majorHAnsi"/>
          <w:sz w:val="20"/>
          <w:szCs w:val="20"/>
          <w:lang w:val="sr-Cyrl-RS"/>
        </w:rPr>
        <w:t xml:space="preserve"> </w:t>
      </w:r>
      <w:r w:rsidR="003E6EF1" w:rsidRPr="006C7B09">
        <w:rPr>
          <w:rFonts w:asciiTheme="majorHAnsi" w:hAnsiTheme="majorHAnsi" w:cstheme="majorHAnsi"/>
          <w:sz w:val="20"/>
          <w:szCs w:val="20"/>
          <w:lang w:val="sr-Cyrl-RS"/>
        </w:rPr>
        <w:t>законских регулатива</w:t>
      </w:r>
      <w:r w:rsidR="001E30C2" w:rsidRPr="006C7B09">
        <w:rPr>
          <w:rFonts w:asciiTheme="majorHAnsi" w:hAnsiTheme="majorHAnsi" w:cstheme="majorHAnsi"/>
          <w:lang w:val="sr-Cyrl-RS"/>
        </w:rPr>
        <w:t>.</w:t>
      </w:r>
    </w:p>
    <w:p w:rsidR="00533639" w:rsidRPr="00533639" w:rsidRDefault="00533639" w:rsidP="00533639">
      <w:pPr>
        <w:spacing w:after="0" w:line="276" w:lineRule="auto"/>
        <w:jc w:val="both"/>
        <w:rPr>
          <w:rFonts w:asciiTheme="majorHAnsi" w:hAnsiTheme="majorHAnsi" w:cstheme="majorHAnsi"/>
          <w:lang w:val="sr-Cyrl-RS"/>
        </w:rPr>
      </w:pPr>
    </w:p>
    <w:p w:rsidR="001E30C2" w:rsidRPr="006C7B09" w:rsidRDefault="001E30C2" w:rsidP="00113BB6">
      <w:pPr>
        <w:spacing w:line="276" w:lineRule="auto"/>
        <w:jc w:val="both"/>
        <w:rPr>
          <w:rFonts w:asciiTheme="majorHAnsi" w:hAnsiTheme="majorHAnsi" w:cstheme="majorHAnsi"/>
          <w:sz w:val="20"/>
          <w:szCs w:val="20"/>
          <w:lang w:val="sr-Cyrl-RS"/>
        </w:rPr>
      </w:pPr>
      <w:r w:rsidRPr="006C7B09">
        <w:rPr>
          <w:rFonts w:asciiTheme="majorHAnsi" w:hAnsiTheme="majorHAnsi" w:cstheme="majorHAnsi"/>
          <w:sz w:val="20"/>
          <w:szCs w:val="20"/>
          <w:lang w:val="sr-Cyrl-RS"/>
        </w:rPr>
        <w:t>Уобичајен</w:t>
      </w:r>
      <w:r w:rsidR="00805A14" w:rsidRPr="006C7B09">
        <w:rPr>
          <w:rFonts w:asciiTheme="majorHAnsi" w:hAnsiTheme="majorHAnsi" w:cstheme="majorHAnsi"/>
          <w:sz w:val="20"/>
          <w:szCs w:val="20"/>
          <w:lang w:val="sr-Cyrl-RS"/>
        </w:rPr>
        <w:t xml:space="preserve">о је </w:t>
      </w:r>
      <w:r w:rsidRPr="006C7B09">
        <w:rPr>
          <w:rFonts w:asciiTheme="majorHAnsi" w:hAnsiTheme="majorHAnsi" w:cstheme="majorHAnsi"/>
          <w:sz w:val="20"/>
          <w:szCs w:val="20"/>
          <w:lang w:val="sr-Cyrl-RS"/>
        </w:rPr>
        <w:t>да велик</w:t>
      </w:r>
      <w:r w:rsidR="00805A14" w:rsidRPr="006C7B09">
        <w:rPr>
          <w:rFonts w:asciiTheme="majorHAnsi" w:hAnsiTheme="majorHAnsi" w:cstheme="majorHAnsi"/>
          <w:sz w:val="20"/>
          <w:szCs w:val="20"/>
          <w:lang w:val="sr-Cyrl-RS"/>
        </w:rPr>
        <w:t>а</w:t>
      </w:r>
      <w:r w:rsidRPr="006C7B09">
        <w:rPr>
          <w:rFonts w:asciiTheme="majorHAnsi" w:hAnsiTheme="majorHAnsi" w:cstheme="majorHAnsi"/>
          <w:sz w:val="20"/>
          <w:szCs w:val="20"/>
          <w:lang w:val="sr-Cyrl-RS"/>
        </w:rPr>
        <w:t xml:space="preserve"> ревизиј</w:t>
      </w:r>
      <w:r w:rsidR="00805A14" w:rsidRPr="006C7B09">
        <w:rPr>
          <w:rFonts w:asciiTheme="majorHAnsi" w:hAnsiTheme="majorHAnsi" w:cstheme="majorHAnsi"/>
          <w:sz w:val="20"/>
          <w:szCs w:val="20"/>
          <w:lang w:val="sr-Cyrl-RS"/>
        </w:rPr>
        <w:t>а</w:t>
      </w:r>
      <w:r w:rsidRPr="006C7B09">
        <w:rPr>
          <w:rFonts w:asciiTheme="majorHAnsi" w:hAnsiTheme="majorHAnsi" w:cstheme="majorHAnsi"/>
          <w:sz w:val="20"/>
          <w:szCs w:val="20"/>
          <w:lang w:val="sr-Cyrl-RS"/>
        </w:rPr>
        <w:t xml:space="preserve"> ни</w:t>
      </w:r>
      <w:r w:rsidR="00805A14" w:rsidRPr="006C7B09">
        <w:rPr>
          <w:rFonts w:asciiTheme="majorHAnsi" w:hAnsiTheme="majorHAnsi" w:cstheme="majorHAnsi"/>
          <w:sz w:val="20"/>
          <w:szCs w:val="20"/>
          <w:lang w:val="sr-Cyrl-RS"/>
        </w:rPr>
        <w:t xml:space="preserve">је </w:t>
      </w:r>
      <w:r w:rsidRPr="006C7B09">
        <w:rPr>
          <w:rFonts w:asciiTheme="majorHAnsi" w:hAnsiTheme="majorHAnsi" w:cstheme="majorHAnsi"/>
          <w:sz w:val="20"/>
          <w:szCs w:val="20"/>
          <w:lang w:val="sr-Cyrl-RS"/>
        </w:rPr>
        <w:t>последица једног узрока, већ комбинациј</w:t>
      </w:r>
      <w:r w:rsidR="00805A14" w:rsidRPr="006C7B09">
        <w:rPr>
          <w:rFonts w:asciiTheme="majorHAnsi" w:hAnsiTheme="majorHAnsi" w:cstheme="majorHAnsi"/>
          <w:sz w:val="20"/>
          <w:szCs w:val="20"/>
          <w:lang w:val="sr-Cyrl-RS"/>
        </w:rPr>
        <w:t>а виш</w:t>
      </w:r>
      <w:r w:rsidRPr="006C7B09">
        <w:rPr>
          <w:rFonts w:asciiTheme="majorHAnsi" w:hAnsiTheme="majorHAnsi" w:cstheme="majorHAnsi"/>
          <w:sz w:val="20"/>
          <w:szCs w:val="20"/>
          <w:lang w:val="sr-Cyrl-RS"/>
        </w:rPr>
        <w:t>е</w:t>
      </w:r>
      <w:r w:rsidR="00805A14" w:rsidRPr="006C7B09">
        <w:rPr>
          <w:rFonts w:asciiTheme="majorHAnsi" w:hAnsiTheme="majorHAnsi" w:cstheme="majorHAnsi"/>
          <w:sz w:val="20"/>
          <w:szCs w:val="20"/>
          <w:lang w:val="sr-Cyrl-RS"/>
        </w:rPr>
        <w:t xml:space="preserve"> њих</w:t>
      </w:r>
      <w:r w:rsidR="00362959" w:rsidRPr="006C7B09">
        <w:rPr>
          <w:rFonts w:asciiTheme="majorHAnsi" w:hAnsiTheme="majorHAnsi" w:cstheme="majorHAnsi"/>
          <w:sz w:val="20"/>
          <w:szCs w:val="20"/>
          <w:lang w:val="sr-Cyrl-RS"/>
        </w:rPr>
        <w:t xml:space="preserve">. Овакав начин спровођења ревизија </w:t>
      </w:r>
      <w:r w:rsidRPr="006C7B09">
        <w:rPr>
          <w:rFonts w:asciiTheme="majorHAnsi" w:hAnsiTheme="majorHAnsi" w:cstheme="majorHAnsi"/>
          <w:sz w:val="20"/>
          <w:szCs w:val="20"/>
          <w:lang w:val="sr-Cyrl-RS"/>
        </w:rPr>
        <w:t>треба прихватити као добру праксу</w:t>
      </w:r>
      <w:r w:rsidR="00805A14" w:rsidRPr="006C7B09">
        <w:rPr>
          <w:rFonts w:asciiTheme="majorHAnsi" w:hAnsiTheme="majorHAnsi" w:cstheme="majorHAnsi"/>
          <w:sz w:val="20"/>
          <w:szCs w:val="20"/>
          <w:lang w:val="sr-Cyrl-RS"/>
        </w:rPr>
        <w:t xml:space="preserve">, јер </w:t>
      </w:r>
      <w:r w:rsidRPr="006C7B09">
        <w:rPr>
          <w:rFonts w:asciiTheme="majorHAnsi" w:hAnsiTheme="majorHAnsi" w:cstheme="majorHAnsi"/>
          <w:sz w:val="20"/>
          <w:szCs w:val="20"/>
          <w:lang w:val="sr-Cyrl-RS"/>
        </w:rPr>
        <w:t xml:space="preserve">се </w:t>
      </w:r>
      <w:r w:rsidR="00F35585" w:rsidRPr="006C7B09">
        <w:rPr>
          <w:rFonts w:asciiTheme="majorHAnsi" w:hAnsiTheme="majorHAnsi" w:cstheme="majorHAnsi"/>
          <w:sz w:val="20"/>
          <w:szCs w:val="20"/>
          <w:lang w:val="sr-Cyrl-RS"/>
        </w:rPr>
        <w:t xml:space="preserve">на тај начин </w:t>
      </w:r>
      <w:r w:rsidRPr="006C7B09">
        <w:rPr>
          <w:rFonts w:asciiTheme="majorHAnsi" w:hAnsiTheme="majorHAnsi" w:cstheme="majorHAnsi"/>
          <w:sz w:val="20"/>
          <w:szCs w:val="20"/>
          <w:lang w:val="sr-Cyrl-RS"/>
        </w:rPr>
        <w:t>избег</w:t>
      </w:r>
      <w:r w:rsidR="00805A14" w:rsidRPr="006C7B09">
        <w:rPr>
          <w:rFonts w:asciiTheme="majorHAnsi" w:hAnsiTheme="majorHAnsi" w:cstheme="majorHAnsi"/>
          <w:sz w:val="20"/>
          <w:szCs w:val="20"/>
          <w:lang w:val="sr-Cyrl-RS"/>
        </w:rPr>
        <w:t>ава</w:t>
      </w:r>
      <w:r w:rsidR="0031014F" w:rsidRPr="006C7B09">
        <w:rPr>
          <w:rFonts w:asciiTheme="majorHAnsi" w:hAnsiTheme="majorHAnsi" w:cstheme="majorHAnsi"/>
          <w:sz w:val="20"/>
          <w:szCs w:val="20"/>
          <w:lang w:val="sr-Cyrl-RS"/>
        </w:rPr>
        <w:t>ју</w:t>
      </w:r>
      <w:r w:rsidR="00805A14" w:rsidRPr="006C7B09">
        <w:rPr>
          <w:rFonts w:asciiTheme="majorHAnsi" w:hAnsiTheme="majorHAnsi" w:cstheme="majorHAnsi"/>
          <w:sz w:val="20"/>
          <w:szCs w:val="20"/>
          <w:lang w:val="sr-Cyrl-RS"/>
        </w:rPr>
        <w:t xml:space="preserve"> </w:t>
      </w:r>
      <w:r w:rsidRPr="006C7B09">
        <w:rPr>
          <w:rFonts w:asciiTheme="majorHAnsi" w:hAnsiTheme="majorHAnsi" w:cstheme="majorHAnsi"/>
          <w:sz w:val="20"/>
          <w:szCs w:val="20"/>
          <w:lang w:val="sr-Cyrl-RS"/>
        </w:rPr>
        <w:t>пре</w:t>
      </w:r>
      <w:r w:rsidR="0031014F" w:rsidRPr="006C7B09">
        <w:rPr>
          <w:rFonts w:asciiTheme="majorHAnsi" w:hAnsiTheme="majorHAnsi" w:cstheme="majorHAnsi"/>
          <w:sz w:val="20"/>
          <w:szCs w:val="20"/>
          <w:lang w:val="sr-Cyrl-RS"/>
        </w:rPr>
        <w:t xml:space="preserve">више </w:t>
      </w:r>
      <w:r w:rsidRPr="006C7B09">
        <w:rPr>
          <w:rFonts w:asciiTheme="majorHAnsi" w:hAnsiTheme="majorHAnsi" w:cstheme="majorHAnsi"/>
          <w:sz w:val="20"/>
          <w:szCs w:val="20"/>
          <w:lang w:val="sr-Cyrl-RS"/>
        </w:rPr>
        <w:t>чест</w:t>
      </w:r>
      <w:r w:rsidR="0031014F" w:rsidRPr="006C7B09">
        <w:rPr>
          <w:rFonts w:asciiTheme="majorHAnsi" w:hAnsiTheme="majorHAnsi" w:cstheme="majorHAnsi"/>
          <w:sz w:val="20"/>
          <w:szCs w:val="20"/>
          <w:lang w:val="sr-Cyrl-RS"/>
        </w:rPr>
        <w:t>е</w:t>
      </w:r>
      <w:r w:rsidR="00805A14" w:rsidRPr="006C7B09">
        <w:rPr>
          <w:rFonts w:asciiTheme="majorHAnsi" w:hAnsiTheme="majorHAnsi" w:cstheme="majorHAnsi"/>
          <w:sz w:val="20"/>
          <w:szCs w:val="20"/>
          <w:lang w:val="sr-Cyrl-RS"/>
        </w:rPr>
        <w:t xml:space="preserve"> </w:t>
      </w:r>
      <w:r w:rsidR="0031014F" w:rsidRPr="006C7B09">
        <w:rPr>
          <w:rFonts w:asciiTheme="majorHAnsi" w:hAnsiTheme="majorHAnsi" w:cstheme="majorHAnsi"/>
          <w:sz w:val="20"/>
          <w:szCs w:val="20"/>
          <w:lang w:val="sr-Cyrl-RS"/>
        </w:rPr>
        <w:t>измене објављених података</w:t>
      </w:r>
      <w:r w:rsidRPr="006C7B09">
        <w:rPr>
          <w:rFonts w:asciiTheme="majorHAnsi" w:hAnsiTheme="majorHAnsi" w:cstheme="majorHAnsi"/>
          <w:sz w:val="20"/>
          <w:szCs w:val="20"/>
          <w:lang w:val="sr-Cyrl-RS"/>
        </w:rPr>
        <w:t>.</w:t>
      </w:r>
    </w:p>
    <w:p w:rsidR="008F0466" w:rsidRPr="0007619F" w:rsidRDefault="008F0466" w:rsidP="001E30C2">
      <w:pPr>
        <w:jc w:val="both"/>
        <w:rPr>
          <w:rFonts w:asciiTheme="majorHAnsi" w:hAnsiTheme="majorHAnsi" w:cstheme="majorHAnsi"/>
          <w:sz w:val="20"/>
          <w:szCs w:val="20"/>
          <w:lang w:val="sr-Cyrl-RS"/>
        </w:rPr>
      </w:pPr>
    </w:p>
    <w:p w:rsidR="008F0466" w:rsidRPr="006C7B09" w:rsidRDefault="008F0466" w:rsidP="001E30C2">
      <w:pPr>
        <w:jc w:val="both"/>
        <w:rPr>
          <w:rFonts w:asciiTheme="majorHAnsi" w:hAnsiTheme="majorHAnsi" w:cstheme="majorHAnsi"/>
          <w:sz w:val="20"/>
          <w:szCs w:val="20"/>
          <w:highlight w:val="yellow"/>
          <w:lang w:val="sr-Cyrl-RS"/>
        </w:rPr>
      </w:pPr>
    </w:p>
    <w:p w:rsidR="008F0466" w:rsidRPr="006C7B09" w:rsidRDefault="008F0466" w:rsidP="001E30C2">
      <w:pPr>
        <w:jc w:val="both"/>
        <w:rPr>
          <w:rFonts w:asciiTheme="majorHAnsi" w:hAnsiTheme="majorHAnsi" w:cstheme="majorHAnsi"/>
          <w:sz w:val="20"/>
          <w:szCs w:val="20"/>
          <w:highlight w:val="yellow"/>
          <w:lang w:val="sr-Cyrl-RS"/>
        </w:rPr>
      </w:pPr>
    </w:p>
    <w:p w:rsidR="008F0466" w:rsidRPr="006C7B09" w:rsidRDefault="008F0466" w:rsidP="001E30C2">
      <w:pPr>
        <w:jc w:val="both"/>
        <w:rPr>
          <w:rFonts w:asciiTheme="majorHAnsi" w:hAnsiTheme="majorHAnsi" w:cstheme="majorHAnsi"/>
          <w:sz w:val="20"/>
          <w:szCs w:val="20"/>
          <w:highlight w:val="yellow"/>
          <w:lang w:val="sr-Cyrl-RS"/>
        </w:rPr>
      </w:pPr>
    </w:p>
    <w:p w:rsidR="008F0466" w:rsidRPr="006C7B09" w:rsidRDefault="008F0466" w:rsidP="001E30C2">
      <w:pPr>
        <w:jc w:val="both"/>
        <w:rPr>
          <w:rFonts w:asciiTheme="majorHAnsi" w:hAnsiTheme="majorHAnsi" w:cstheme="majorHAnsi"/>
          <w:sz w:val="20"/>
          <w:szCs w:val="20"/>
          <w:highlight w:val="yellow"/>
          <w:lang w:val="sr-Cyrl-RS"/>
        </w:rPr>
      </w:pPr>
    </w:p>
    <w:p w:rsidR="008F0466" w:rsidRPr="006C7B09" w:rsidRDefault="008F0466" w:rsidP="001E30C2">
      <w:pPr>
        <w:jc w:val="both"/>
        <w:rPr>
          <w:rFonts w:asciiTheme="majorHAnsi" w:hAnsiTheme="majorHAnsi" w:cstheme="majorHAnsi"/>
          <w:sz w:val="20"/>
          <w:szCs w:val="20"/>
          <w:highlight w:val="yellow"/>
          <w:lang w:val="sr-Cyrl-RS"/>
        </w:rPr>
      </w:pPr>
    </w:p>
    <w:p w:rsidR="008F0466" w:rsidRPr="006C7B09" w:rsidRDefault="008F0466" w:rsidP="001E30C2">
      <w:pPr>
        <w:jc w:val="both"/>
        <w:rPr>
          <w:rFonts w:asciiTheme="majorHAnsi" w:hAnsiTheme="majorHAnsi" w:cstheme="majorHAnsi"/>
          <w:sz w:val="20"/>
          <w:szCs w:val="20"/>
          <w:highlight w:val="yellow"/>
          <w:lang w:val="sr-Cyrl-RS"/>
        </w:rPr>
      </w:pPr>
    </w:p>
    <w:p w:rsidR="008F0466" w:rsidRPr="006C7B09" w:rsidRDefault="008F0466" w:rsidP="001E30C2">
      <w:pPr>
        <w:jc w:val="both"/>
        <w:rPr>
          <w:rFonts w:asciiTheme="majorHAnsi" w:hAnsiTheme="majorHAnsi" w:cstheme="majorHAnsi"/>
          <w:sz w:val="20"/>
          <w:szCs w:val="20"/>
          <w:highlight w:val="yellow"/>
          <w:lang w:val="sr-Cyrl-RS"/>
        </w:rPr>
      </w:pPr>
    </w:p>
    <w:p w:rsidR="008F0466" w:rsidRPr="006C7B09" w:rsidRDefault="008F0466" w:rsidP="001E30C2">
      <w:pPr>
        <w:jc w:val="both"/>
        <w:rPr>
          <w:rFonts w:asciiTheme="majorHAnsi" w:hAnsiTheme="majorHAnsi" w:cstheme="majorHAnsi"/>
          <w:sz w:val="20"/>
          <w:szCs w:val="20"/>
          <w:highlight w:val="yellow"/>
          <w:lang w:val="sr-Cyrl-RS"/>
        </w:rPr>
      </w:pPr>
    </w:p>
    <w:p w:rsidR="008F0466" w:rsidRPr="006C7B09" w:rsidRDefault="008F0466" w:rsidP="001E30C2">
      <w:pPr>
        <w:jc w:val="both"/>
        <w:rPr>
          <w:rFonts w:asciiTheme="majorHAnsi" w:hAnsiTheme="majorHAnsi" w:cstheme="majorHAnsi"/>
          <w:sz w:val="20"/>
          <w:szCs w:val="20"/>
          <w:highlight w:val="yellow"/>
          <w:lang w:val="sr-Cyrl-RS"/>
        </w:rPr>
      </w:pPr>
    </w:p>
    <w:p w:rsidR="008F0466" w:rsidRPr="006C7B09" w:rsidRDefault="008F0466" w:rsidP="001E30C2">
      <w:pPr>
        <w:jc w:val="both"/>
        <w:rPr>
          <w:rFonts w:asciiTheme="majorHAnsi" w:hAnsiTheme="majorHAnsi" w:cstheme="majorHAnsi"/>
          <w:sz w:val="20"/>
          <w:szCs w:val="20"/>
          <w:highlight w:val="yellow"/>
          <w:lang w:val="sr-Cyrl-RS"/>
        </w:rPr>
      </w:pPr>
    </w:p>
    <w:p w:rsidR="008F0466" w:rsidRPr="006C7B09" w:rsidRDefault="008F0466" w:rsidP="001E30C2">
      <w:pPr>
        <w:jc w:val="both"/>
        <w:rPr>
          <w:rFonts w:asciiTheme="majorHAnsi" w:hAnsiTheme="majorHAnsi" w:cstheme="majorHAnsi"/>
          <w:sz w:val="20"/>
          <w:szCs w:val="20"/>
          <w:highlight w:val="yellow"/>
          <w:lang w:val="sr-Cyrl-RS"/>
        </w:rPr>
      </w:pPr>
    </w:p>
    <w:p w:rsidR="0052725B" w:rsidRPr="006C7B09" w:rsidRDefault="008F0466" w:rsidP="001E30C2">
      <w:pPr>
        <w:jc w:val="both"/>
        <w:rPr>
          <w:rFonts w:asciiTheme="majorHAnsi" w:hAnsiTheme="majorHAnsi" w:cstheme="majorHAnsi"/>
          <w:sz w:val="20"/>
          <w:szCs w:val="20"/>
          <w:highlight w:val="yellow"/>
          <w:lang w:val="sr-Cyrl-RS"/>
        </w:rPr>
      </w:pPr>
      <w:r w:rsidRPr="006C7B09">
        <w:rPr>
          <w:rFonts w:asciiTheme="majorHAnsi" w:hAnsiTheme="majorHAnsi" w:cstheme="majorHAnsi"/>
          <w:sz w:val="20"/>
          <w:szCs w:val="20"/>
          <w:highlight w:val="yellow"/>
          <w:lang w:val="sr-Cyrl-RS"/>
        </w:rPr>
        <w:lastRenderedPageBreak/>
        <w:t xml:space="preserve"> </w:t>
      </w:r>
    </w:p>
    <w:p w:rsidR="005972D1" w:rsidRPr="006C7B09" w:rsidRDefault="005972D1" w:rsidP="005972D1">
      <w:pPr>
        <w:spacing w:line="276" w:lineRule="auto"/>
        <w:jc w:val="center"/>
        <w:rPr>
          <w:rFonts w:asciiTheme="majorHAnsi" w:eastAsiaTheme="minorHAnsi" w:hAnsiTheme="majorHAnsi" w:cstheme="majorHAnsi"/>
          <w:b/>
          <w:bCs/>
          <w:sz w:val="20"/>
          <w:szCs w:val="20"/>
          <w:lang w:val="sr-Cyrl-RS"/>
        </w:rPr>
      </w:pPr>
      <w:r w:rsidRPr="0007619F">
        <w:rPr>
          <w:rFonts w:asciiTheme="majorHAnsi" w:hAnsiTheme="majorHAnsi" w:cstheme="majorHAnsi"/>
          <w:b/>
          <w:sz w:val="20"/>
          <w:szCs w:val="20"/>
          <w:lang w:val="sr-Cyrl-RS"/>
        </w:rPr>
        <w:t>Велике (бенчмарк) ревизије националних рачуна</w:t>
      </w:r>
    </w:p>
    <w:tbl>
      <w:tblPr>
        <w:tblStyle w:val="TableGrid1"/>
        <w:tblW w:w="0" w:type="auto"/>
        <w:jc w:val="center"/>
        <w:tblBorders>
          <w:top w:val="single" w:sz="8" w:space="0" w:color="000000" w:themeColor="text1"/>
          <w:left w:val="none" w:sz="0" w:space="0" w:color="auto"/>
          <w:bottom w:val="single" w:sz="8" w:space="0" w:color="000000" w:themeColor="text1"/>
          <w:right w:val="none" w:sz="0" w:space="0" w:color="auto"/>
          <w:insideH w:val="single" w:sz="8" w:space="0" w:color="A8D08D" w:themeColor="accent6" w:themeTint="9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5"/>
        <w:gridCol w:w="7839"/>
      </w:tblGrid>
      <w:tr w:rsidR="005972D1" w:rsidRPr="006C7B09" w:rsidTr="00DA595F">
        <w:trPr>
          <w:trHeight w:val="316"/>
          <w:jc w:val="center"/>
        </w:trPr>
        <w:tc>
          <w:tcPr>
            <w:tcW w:w="1475" w:type="dxa"/>
            <w:shd w:val="clear" w:color="auto" w:fill="E2EFD9" w:themeFill="accent6" w:themeFillTint="33"/>
            <w:vAlign w:val="center"/>
          </w:tcPr>
          <w:p w:rsidR="005972D1" w:rsidRPr="006C7B09" w:rsidRDefault="005972D1" w:rsidP="001365BC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 w:val="sr-Cyrl-RS"/>
              </w:rPr>
            </w:pPr>
            <w:r w:rsidRPr="006C7B09">
              <w:rPr>
                <w:rFonts w:asciiTheme="majorHAnsi" w:hAnsiTheme="majorHAnsi" w:cstheme="majorHAnsi"/>
                <w:b/>
                <w:sz w:val="18"/>
                <w:szCs w:val="18"/>
                <w:lang w:val="sr-Cyrl-RS"/>
              </w:rPr>
              <w:t>Година публиковања</w:t>
            </w:r>
          </w:p>
        </w:tc>
        <w:tc>
          <w:tcPr>
            <w:tcW w:w="7839" w:type="dxa"/>
            <w:shd w:val="clear" w:color="auto" w:fill="E2EFD9" w:themeFill="accent6" w:themeFillTint="33"/>
            <w:vAlign w:val="center"/>
          </w:tcPr>
          <w:p w:rsidR="005972D1" w:rsidRPr="006C7B09" w:rsidRDefault="005972D1" w:rsidP="001365BC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 w:val="sr-Cyrl-RS"/>
              </w:rPr>
            </w:pPr>
            <w:r w:rsidRPr="006C7B09">
              <w:rPr>
                <w:rFonts w:asciiTheme="majorHAnsi" w:hAnsiTheme="majorHAnsi" w:cstheme="majorHAnsi"/>
                <w:b/>
                <w:sz w:val="18"/>
                <w:szCs w:val="18"/>
                <w:lang w:val="sr-Cyrl-RS"/>
              </w:rPr>
              <w:t>Г</w:t>
            </w:r>
            <w:r w:rsidR="004D51F6" w:rsidRPr="006C7B09">
              <w:rPr>
                <w:rFonts w:asciiTheme="majorHAnsi" w:hAnsiTheme="majorHAnsi" w:cstheme="majorHAnsi"/>
                <w:b/>
                <w:sz w:val="18"/>
                <w:szCs w:val="18"/>
                <w:lang w:val="sr-Cyrl-RS"/>
              </w:rPr>
              <w:t xml:space="preserve">лавни резултати </w:t>
            </w:r>
            <w:r w:rsidRPr="006C7B09">
              <w:rPr>
                <w:rFonts w:asciiTheme="majorHAnsi" w:hAnsiTheme="majorHAnsi" w:cstheme="majorHAnsi"/>
                <w:b/>
                <w:sz w:val="18"/>
                <w:szCs w:val="18"/>
                <w:lang w:val="sr-Cyrl-RS"/>
              </w:rPr>
              <w:t>ревизије</w:t>
            </w:r>
          </w:p>
        </w:tc>
      </w:tr>
      <w:tr w:rsidR="005972D1" w:rsidRPr="006C7B09" w:rsidTr="00DA595F">
        <w:trPr>
          <w:trHeight w:val="1835"/>
          <w:jc w:val="center"/>
        </w:trPr>
        <w:tc>
          <w:tcPr>
            <w:tcW w:w="1475" w:type="dxa"/>
            <w:vAlign w:val="center"/>
          </w:tcPr>
          <w:p w:rsidR="005972D1" w:rsidRPr="0007619F" w:rsidRDefault="005972D1" w:rsidP="001365BC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 w:val="sr-Cyrl-RS"/>
              </w:rPr>
            </w:pPr>
            <w:r w:rsidRPr="0007619F">
              <w:rPr>
                <w:rFonts w:asciiTheme="majorHAnsi" w:hAnsiTheme="majorHAnsi" w:cstheme="majorHAnsi"/>
                <w:b/>
                <w:sz w:val="18"/>
                <w:szCs w:val="18"/>
                <w:lang w:val="sr-Cyrl-RS"/>
              </w:rPr>
              <w:t>2012</w:t>
            </w:r>
          </w:p>
        </w:tc>
        <w:tc>
          <w:tcPr>
            <w:tcW w:w="7839" w:type="dxa"/>
            <w:vAlign w:val="center"/>
          </w:tcPr>
          <w:p w:rsidR="005972D1" w:rsidRPr="0007619F" w:rsidRDefault="005972D1" w:rsidP="007B3628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 w:cstheme="majorHAnsi"/>
                <w:sz w:val="18"/>
                <w:szCs w:val="18"/>
                <w:lang w:val="sr-Cyrl-RS"/>
              </w:rPr>
            </w:pPr>
            <w:r w:rsidRPr="0007619F">
              <w:rPr>
                <w:rFonts w:asciiTheme="majorHAnsi" w:hAnsiTheme="majorHAnsi" w:cstheme="majorHAnsi"/>
                <w:sz w:val="18"/>
                <w:szCs w:val="18"/>
                <w:lang w:val="sr-Cyrl-RS"/>
              </w:rPr>
              <w:t>Уведена је нова Национална клас</w:t>
            </w:r>
            <w:r w:rsidR="0006765E" w:rsidRPr="0007619F">
              <w:rPr>
                <w:rFonts w:asciiTheme="majorHAnsi" w:hAnsiTheme="majorHAnsi" w:cstheme="majorHAnsi"/>
                <w:sz w:val="18"/>
                <w:szCs w:val="18"/>
                <w:lang w:val="sr-Cyrl-RS"/>
              </w:rPr>
              <w:t>ификација делатности (КД</w:t>
            </w:r>
            <w:r w:rsidR="00176865" w:rsidRPr="0007619F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06765E" w:rsidRPr="0007619F">
              <w:rPr>
                <w:rFonts w:asciiTheme="majorHAnsi" w:hAnsiTheme="majorHAnsi" w:cstheme="majorHAnsi"/>
                <w:sz w:val="18"/>
                <w:szCs w:val="18"/>
                <w:lang w:val="sr-Cyrl-RS"/>
              </w:rPr>
              <w:t>2010)</w:t>
            </w:r>
            <w:r w:rsidR="001109DA">
              <w:rPr>
                <w:rFonts w:asciiTheme="majorHAnsi" w:hAnsiTheme="majorHAnsi" w:cstheme="majorHAnsi"/>
                <w:sz w:val="18"/>
                <w:szCs w:val="18"/>
                <w:lang w:val="sr-Cyrl-RS"/>
              </w:rPr>
              <w:t>,</w:t>
            </w:r>
            <w:r w:rsidR="0006765E" w:rsidRPr="0007619F">
              <w:rPr>
                <w:rFonts w:asciiTheme="majorHAnsi" w:hAnsiTheme="majorHAnsi" w:cstheme="majorHAnsi"/>
                <w:sz w:val="18"/>
                <w:szCs w:val="18"/>
                <w:lang w:val="sr-Cyrl-RS"/>
              </w:rPr>
              <w:t xml:space="preserve"> усаглашена </w:t>
            </w:r>
            <w:r w:rsidRPr="0007619F">
              <w:rPr>
                <w:rFonts w:asciiTheme="majorHAnsi" w:hAnsiTheme="majorHAnsi" w:cstheme="majorHAnsi"/>
                <w:sz w:val="18"/>
                <w:szCs w:val="18"/>
                <w:lang w:val="sr-Cyrl-RS"/>
              </w:rPr>
              <w:t>с</w:t>
            </w:r>
            <w:r w:rsidR="004C69FD" w:rsidRPr="0007619F">
              <w:rPr>
                <w:rFonts w:asciiTheme="majorHAnsi" w:hAnsiTheme="majorHAnsi" w:cstheme="majorHAnsi"/>
                <w:sz w:val="18"/>
                <w:szCs w:val="18"/>
                <w:lang w:val="sr-Cyrl-RS"/>
              </w:rPr>
              <w:t>а</w:t>
            </w:r>
            <w:r w:rsidRPr="0007619F">
              <w:rPr>
                <w:rFonts w:asciiTheme="majorHAnsi" w:hAnsiTheme="majorHAnsi" w:cstheme="majorHAnsi"/>
                <w:sz w:val="18"/>
                <w:szCs w:val="18"/>
                <w:lang w:val="sr-Cyrl-RS"/>
              </w:rPr>
              <w:t xml:space="preserve"> међународном </w:t>
            </w:r>
            <w:r w:rsidRPr="0007619F">
              <w:rPr>
                <w:rFonts w:asciiTheme="majorHAnsi" w:hAnsiTheme="majorHAnsi" w:cstheme="majorHAnsi"/>
                <w:i/>
                <w:sz w:val="18"/>
                <w:szCs w:val="18"/>
                <w:lang w:val="sr-Cyrl-RS"/>
              </w:rPr>
              <w:t>NACE Rev. 2</w:t>
            </w:r>
          </w:p>
          <w:p w:rsidR="005972D1" w:rsidRPr="0007619F" w:rsidRDefault="0006765E" w:rsidP="007B3628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 w:cstheme="majorHAnsi"/>
                <w:sz w:val="18"/>
                <w:szCs w:val="18"/>
                <w:lang w:val="sr-Cyrl-RS"/>
              </w:rPr>
            </w:pPr>
            <w:r w:rsidRPr="0007619F">
              <w:rPr>
                <w:rFonts w:asciiTheme="majorHAnsi" w:hAnsiTheme="majorHAnsi" w:cstheme="majorHAnsi"/>
                <w:sz w:val="18"/>
                <w:szCs w:val="18"/>
                <w:lang w:val="sr-Cyrl-RS"/>
              </w:rPr>
              <w:t>Промењен је метод</w:t>
            </w:r>
            <w:r w:rsidR="005972D1" w:rsidRPr="0007619F">
              <w:rPr>
                <w:rFonts w:asciiTheme="majorHAnsi" w:hAnsiTheme="majorHAnsi" w:cstheme="majorHAnsi"/>
                <w:sz w:val="18"/>
                <w:szCs w:val="18"/>
                <w:lang w:val="sr-Cyrl-RS"/>
              </w:rPr>
              <w:t xml:space="preserve"> обрачуна сталних цена </w:t>
            </w:r>
            <w:r w:rsidR="001109DA">
              <w:rPr>
                <w:rFonts w:ascii="Arial" w:hAnsi="Arial" w:cs="Arial"/>
                <w:sz w:val="18"/>
                <w:szCs w:val="18"/>
                <w:lang w:val="sr-Cyrl-RS"/>
              </w:rPr>
              <w:t>‒</w:t>
            </w:r>
            <w:r w:rsidR="005972D1" w:rsidRPr="0007619F">
              <w:rPr>
                <w:rFonts w:asciiTheme="majorHAnsi" w:hAnsiTheme="majorHAnsi" w:cstheme="majorHAnsi"/>
                <w:sz w:val="18"/>
                <w:szCs w:val="18"/>
                <w:lang w:val="sr-Cyrl-RS"/>
              </w:rPr>
              <w:t xml:space="preserve"> прелазак са обрачуна са фиксном базном </w:t>
            </w:r>
            <w:r w:rsidR="008F563A" w:rsidRPr="0007619F">
              <w:rPr>
                <w:rFonts w:asciiTheme="majorHAnsi" w:hAnsiTheme="majorHAnsi" w:cstheme="majorHAnsi"/>
                <w:sz w:val="18"/>
                <w:szCs w:val="18"/>
                <w:lang w:val="sr-Cyrl-RS"/>
              </w:rPr>
              <w:t>годином на обрачун</w:t>
            </w:r>
            <w:r w:rsidR="005972D1" w:rsidRPr="0007619F">
              <w:rPr>
                <w:rFonts w:asciiTheme="majorHAnsi" w:hAnsiTheme="majorHAnsi" w:cstheme="majorHAnsi"/>
                <w:sz w:val="18"/>
                <w:szCs w:val="18"/>
                <w:lang w:val="sr-Cyrl-RS"/>
              </w:rPr>
              <w:t xml:space="preserve"> у ценама претходне године</w:t>
            </w:r>
          </w:p>
          <w:p w:rsidR="005972D1" w:rsidRPr="0007619F" w:rsidRDefault="005972D1" w:rsidP="007B3628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 w:cstheme="majorHAnsi"/>
                <w:sz w:val="18"/>
                <w:szCs w:val="18"/>
                <w:lang w:val="sr-Cyrl-RS"/>
              </w:rPr>
            </w:pPr>
            <w:r w:rsidRPr="0007619F">
              <w:rPr>
                <w:rFonts w:asciiTheme="majorHAnsi" w:hAnsiTheme="majorHAnsi" w:cstheme="majorHAnsi"/>
                <w:sz w:val="18"/>
                <w:szCs w:val="18"/>
                <w:lang w:val="sr-Cyrl-RS"/>
              </w:rPr>
              <w:t>Примењен је метод уланчавања</w:t>
            </w:r>
            <w:r w:rsidR="0006765E" w:rsidRPr="0007619F">
              <w:rPr>
                <w:rFonts w:asciiTheme="majorHAnsi" w:hAnsiTheme="majorHAnsi" w:cstheme="majorHAnsi"/>
                <w:sz w:val="18"/>
                <w:szCs w:val="18"/>
                <w:lang w:val="sr-Cyrl-RS"/>
              </w:rPr>
              <w:t xml:space="preserve"> (</w:t>
            </w:r>
            <w:r w:rsidRPr="0007619F">
              <w:rPr>
                <w:rFonts w:asciiTheme="majorHAnsi" w:hAnsiTheme="majorHAnsi" w:cstheme="majorHAnsi"/>
                <w:sz w:val="18"/>
                <w:szCs w:val="18"/>
                <w:lang w:val="sr-Cyrl-RS"/>
              </w:rPr>
              <w:t xml:space="preserve">2010. година </w:t>
            </w:r>
            <w:r w:rsidR="0006765E" w:rsidRPr="0007619F">
              <w:rPr>
                <w:rFonts w:asciiTheme="majorHAnsi" w:hAnsiTheme="majorHAnsi" w:cstheme="majorHAnsi"/>
                <w:sz w:val="18"/>
                <w:szCs w:val="18"/>
                <w:lang w:val="sr-Cyrl-RS"/>
              </w:rPr>
              <w:t xml:space="preserve">узета </w:t>
            </w:r>
            <w:r w:rsidR="008D7FD3" w:rsidRPr="0007619F">
              <w:rPr>
                <w:rFonts w:asciiTheme="majorHAnsi" w:hAnsiTheme="majorHAnsi" w:cstheme="majorHAnsi"/>
                <w:sz w:val="18"/>
                <w:szCs w:val="18"/>
                <w:lang w:val="sr-Cyrl-RS"/>
              </w:rPr>
              <w:t xml:space="preserve">је </w:t>
            </w:r>
            <w:r w:rsidR="0006765E" w:rsidRPr="0007619F">
              <w:rPr>
                <w:rFonts w:asciiTheme="majorHAnsi" w:hAnsiTheme="majorHAnsi" w:cstheme="majorHAnsi"/>
                <w:sz w:val="18"/>
                <w:szCs w:val="18"/>
                <w:lang w:val="sr-Cyrl-RS"/>
              </w:rPr>
              <w:t>као</w:t>
            </w:r>
            <w:r w:rsidRPr="0007619F">
              <w:rPr>
                <w:rFonts w:asciiTheme="majorHAnsi" w:hAnsiTheme="majorHAnsi" w:cstheme="majorHAnsi"/>
                <w:sz w:val="18"/>
                <w:szCs w:val="18"/>
                <w:lang w:val="sr-Cyrl-RS"/>
              </w:rPr>
              <w:t xml:space="preserve"> референтна година</w:t>
            </w:r>
            <w:r w:rsidR="0006765E" w:rsidRPr="0007619F">
              <w:rPr>
                <w:rFonts w:asciiTheme="majorHAnsi" w:hAnsiTheme="majorHAnsi" w:cstheme="majorHAnsi"/>
                <w:sz w:val="18"/>
                <w:szCs w:val="18"/>
                <w:lang w:val="sr-Cyrl-RS"/>
              </w:rPr>
              <w:t>)</w:t>
            </w:r>
            <w:r w:rsidRPr="0007619F">
              <w:rPr>
                <w:rFonts w:asciiTheme="majorHAnsi" w:hAnsiTheme="majorHAnsi" w:cstheme="majorHAnsi"/>
                <w:sz w:val="18"/>
                <w:szCs w:val="18"/>
                <w:lang w:val="sr-Cyrl-RS"/>
              </w:rPr>
              <w:t xml:space="preserve"> </w:t>
            </w:r>
          </w:p>
          <w:p w:rsidR="005972D1" w:rsidRPr="0007619F" w:rsidRDefault="005972D1" w:rsidP="007B3628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 w:cstheme="majorHAnsi"/>
                <w:sz w:val="18"/>
                <w:szCs w:val="18"/>
                <w:lang w:val="sr-Cyrl-RS"/>
              </w:rPr>
            </w:pPr>
            <w:r w:rsidRPr="0007619F">
              <w:rPr>
                <w:rFonts w:asciiTheme="majorHAnsi" w:hAnsiTheme="majorHAnsi" w:cstheme="majorHAnsi"/>
                <w:sz w:val="18"/>
                <w:szCs w:val="18"/>
                <w:lang w:val="sr-Cyrl-RS"/>
              </w:rPr>
              <w:t>Ревидирана</w:t>
            </w:r>
            <w:r w:rsidR="008D7FD3" w:rsidRPr="0007619F">
              <w:rPr>
                <w:rFonts w:asciiTheme="majorHAnsi" w:hAnsiTheme="majorHAnsi" w:cstheme="majorHAnsi"/>
                <w:sz w:val="18"/>
                <w:szCs w:val="18"/>
                <w:lang w:val="sr-Cyrl-RS"/>
              </w:rPr>
              <w:t xml:space="preserve"> је</w:t>
            </w:r>
            <w:r w:rsidRPr="0007619F">
              <w:rPr>
                <w:rFonts w:asciiTheme="majorHAnsi" w:hAnsiTheme="majorHAnsi" w:cstheme="majorHAnsi"/>
                <w:sz w:val="18"/>
                <w:szCs w:val="18"/>
                <w:lang w:val="sr-Cyrl-RS"/>
              </w:rPr>
              <w:t xml:space="preserve"> серија података</w:t>
            </w:r>
            <w:r w:rsidR="0006765E" w:rsidRPr="0007619F">
              <w:rPr>
                <w:rFonts w:asciiTheme="majorHAnsi" w:hAnsiTheme="majorHAnsi" w:cstheme="majorHAnsi"/>
                <w:sz w:val="18"/>
                <w:szCs w:val="18"/>
                <w:lang w:val="sr-Cyrl-RS"/>
              </w:rPr>
              <w:t xml:space="preserve"> за период</w:t>
            </w:r>
            <w:r w:rsidRPr="0007619F">
              <w:rPr>
                <w:rFonts w:asciiTheme="majorHAnsi" w:hAnsiTheme="majorHAnsi" w:cstheme="majorHAnsi"/>
                <w:sz w:val="18"/>
                <w:szCs w:val="18"/>
                <w:lang w:val="sr-Cyrl-RS"/>
              </w:rPr>
              <w:t xml:space="preserve"> 2001</w:t>
            </w:r>
            <w:r w:rsidR="001109DA">
              <w:rPr>
                <w:rFonts w:ascii="Arial" w:hAnsi="Arial" w:cs="Arial"/>
                <w:sz w:val="18"/>
                <w:szCs w:val="18"/>
                <w:lang w:val="sr-Cyrl-RS"/>
              </w:rPr>
              <w:t>‒</w:t>
            </w:r>
            <w:r w:rsidRPr="0007619F">
              <w:rPr>
                <w:rFonts w:asciiTheme="majorHAnsi" w:hAnsiTheme="majorHAnsi" w:cstheme="majorHAnsi"/>
                <w:sz w:val="18"/>
                <w:szCs w:val="18"/>
                <w:lang w:val="sr-Cyrl-RS"/>
              </w:rPr>
              <w:t>2010</w:t>
            </w:r>
            <w:r w:rsidR="0006765E" w:rsidRPr="0007619F">
              <w:rPr>
                <w:rFonts w:asciiTheme="majorHAnsi" w:hAnsiTheme="majorHAnsi" w:cstheme="majorHAnsi"/>
                <w:sz w:val="18"/>
                <w:szCs w:val="18"/>
                <w:lang w:val="sr-Cyrl-RS"/>
              </w:rPr>
              <w:t xml:space="preserve">. </w:t>
            </w:r>
          </w:p>
        </w:tc>
      </w:tr>
      <w:tr w:rsidR="005972D1" w:rsidRPr="006C7B09" w:rsidTr="00DA595F">
        <w:trPr>
          <w:trHeight w:val="1835"/>
          <w:jc w:val="center"/>
        </w:trPr>
        <w:tc>
          <w:tcPr>
            <w:tcW w:w="1475" w:type="dxa"/>
            <w:vAlign w:val="center"/>
          </w:tcPr>
          <w:p w:rsidR="005972D1" w:rsidRPr="0007619F" w:rsidRDefault="005972D1" w:rsidP="001365BC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 w:val="sr-Cyrl-RS"/>
              </w:rPr>
            </w:pPr>
            <w:r w:rsidRPr="0007619F">
              <w:rPr>
                <w:rFonts w:asciiTheme="majorHAnsi" w:hAnsiTheme="majorHAnsi" w:cstheme="majorHAnsi"/>
                <w:b/>
                <w:sz w:val="18"/>
                <w:szCs w:val="18"/>
                <w:lang w:val="sr-Cyrl-RS"/>
              </w:rPr>
              <w:t>2014</w:t>
            </w:r>
          </w:p>
        </w:tc>
        <w:tc>
          <w:tcPr>
            <w:tcW w:w="7839" w:type="dxa"/>
            <w:vAlign w:val="center"/>
          </w:tcPr>
          <w:p w:rsidR="005972D1" w:rsidRPr="0007619F" w:rsidRDefault="0006765E" w:rsidP="007B3628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 w:cstheme="majorHAnsi"/>
                <w:sz w:val="18"/>
                <w:szCs w:val="18"/>
                <w:lang w:val="sr-Cyrl-RS"/>
              </w:rPr>
            </w:pPr>
            <w:r w:rsidRPr="0007619F">
              <w:rPr>
                <w:rFonts w:asciiTheme="majorHAnsi" w:hAnsiTheme="majorHAnsi" w:cstheme="majorHAnsi"/>
                <w:sz w:val="18"/>
                <w:szCs w:val="18"/>
                <w:lang w:val="sr-Cyrl-RS"/>
              </w:rPr>
              <w:t>Примењ</w:t>
            </w:r>
            <w:r w:rsidR="00F82F78" w:rsidRPr="0007619F">
              <w:rPr>
                <w:rFonts w:asciiTheme="majorHAnsi" w:hAnsiTheme="majorHAnsi" w:cstheme="majorHAnsi"/>
                <w:sz w:val="18"/>
                <w:szCs w:val="18"/>
                <w:lang w:val="sr-Cyrl-RS"/>
              </w:rPr>
              <w:t>е</w:t>
            </w:r>
            <w:r w:rsidRPr="0007619F">
              <w:rPr>
                <w:rFonts w:asciiTheme="majorHAnsi" w:hAnsiTheme="majorHAnsi" w:cstheme="majorHAnsi"/>
                <w:sz w:val="18"/>
                <w:szCs w:val="18"/>
                <w:lang w:val="sr-Cyrl-RS"/>
              </w:rPr>
              <w:t>на је нова методологија</w:t>
            </w:r>
            <w:r w:rsidR="00F82F78" w:rsidRPr="0007619F">
              <w:rPr>
                <w:rFonts w:asciiTheme="majorHAnsi" w:hAnsiTheme="majorHAnsi" w:cstheme="majorHAnsi"/>
                <w:sz w:val="18"/>
                <w:szCs w:val="18"/>
                <w:lang w:val="sr-Cyrl-RS"/>
              </w:rPr>
              <w:t xml:space="preserve"> националних рачуна</w:t>
            </w:r>
            <w:r w:rsidRPr="0007619F">
              <w:rPr>
                <w:rFonts w:asciiTheme="majorHAnsi" w:hAnsiTheme="majorHAnsi" w:cstheme="majorHAnsi"/>
                <w:sz w:val="18"/>
                <w:szCs w:val="18"/>
                <w:lang w:val="sr-Cyrl-RS"/>
              </w:rPr>
              <w:t>,</w:t>
            </w:r>
            <w:r w:rsidR="00F82F78" w:rsidRPr="0007619F">
              <w:rPr>
                <w:rFonts w:asciiTheme="majorHAnsi" w:hAnsiTheme="majorHAnsi" w:cstheme="majorHAnsi"/>
                <w:sz w:val="18"/>
                <w:szCs w:val="18"/>
                <w:lang w:val="sr-Cyrl-RS"/>
              </w:rPr>
              <w:t xml:space="preserve"> </w:t>
            </w:r>
            <w:r w:rsidR="000A02B4" w:rsidRPr="0007619F">
              <w:rPr>
                <w:rFonts w:asciiTheme="majorHAnsi" w:hAnsiTheme="majorHAnsi" w:cstheme="majorHAnsi"/>
                <w:sz w:val="18"/>
                <w:szCs w:val="18"/>
                <w:lang w:val="sr-Cyrl-RS"/>
              </w:rPr>
              <w:t xml:space="preserve">Европски систем рачуна 2010 </w:t>
            </w:r>
            <w:r w:rsidRPr="0007619F">
              <w:rPr>
                <w:rFonts w:asciiTheme="majorHAnsi" w:hAnsiTheme="majorHAnsi" w:cstheme="majorHAnsi"/>
                <w:sz w:val="18"/>
                <w:szCs w:val="18"/>
                <w:lang w:val="sr-Cyrl-RS"/>
              </w:rPr>
              <w:t>(</w:t>
            </w:r>
            <w:r w:rsidR="00F82F78" w:rsidRPr="0007619F">
              <w:rPr>
                <w:rFonts w:asciiTheme="majorHAnsi" w:hAnsiTheme="majorHAnsi" w:cstheme="majorHAnsi"/>
                <w:i/>
                <w:sz w:val="18"/>
                <w:szCs w:val="18"/>
                <w:lang w:val="sr-Cyrl-RS"/>
              </w:rPr>
              <w:t>ESA 2010</w:t>
            </w:r>
            <w:r w:rsidRPr="0007619F">
              <w:rPr>
                <w:rFonts w:asciiTheme="majorHAnsi" w:hAnsiTheme="majorHAnsi" w:cstheme="majorHAnsi"/>
                <w:sz w:val="18"/>
                <w:szCs w:val="18"/>
                <w:lang w:val="sr-Cyrl-RS"/>
              </w:rPr>
              <w:t>)</w:t>
            </w:r>
            <w:r w:rsidR="00F82F78" w:rsidRPr="0007619F">
              <w:rPr>
                <w:rFonts w:asciiTheme="majorHAnsi" w:hAnsiTheme="majorHAnsi" w:cstheme="majorHAnsi"/>
                <w:sz w:val="18"/>
                <w:szCs w:val="18"/>
                <w:lang w:val="sr-Cyrl-RS"/>
              </w:rPr>
              <w:t xml:space="preserve"> уместо </w:t>
            </w:r>
            <w:r w:rsidR="005972D1" w:rsidRPr="0007619F">
              <w:rPr>
                <w:rFonts w:asciiTheme="majorHAnsi" w:hAnsiTheme="majorHAnsi" w:cstheme="majorHAnsi"/>
                <w:i/>
                <w:sz w:val="18"/>
                <w:szCs w:val="18"/>
                <w:lang w:val="sr-Cyrl-RS"/>
              </w:rPr>
              <w:t>ESA</w:t>
            </w:r>
            <w:r w:rsidR="008F563A" w:rsidRPr="0007619F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="00F82F78" w:rsidRPr="0007619F">
              <w:rPr>
                <w:rFonts w:asciiTheme="majorHAnsi" w:hAnsiTheme="majorHAnsi" w:cstheme="majorHAnsi"/>
                <w:i/>
                <w:sz w:val="18"/>
                <w:szCs w:val="18"/>
                <w:lang w:val="sr-Cyrl-RS"/>
              </w:rPr>
              <w:t>95</w:t>
            </w:r>
          </w:p>
          <w:p w:rsidR="00F82F78" w:rsidRPr="0007619F" w:rsidRDefault="008A6D5C" w:rsidP="007B3628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 w:cstheme="majorHAnsi"/>
                <w:sz w:val="18"/>
                <w:szCs w:val="18"/>
                <w:lang w:val="sr-Cyrl-RS"/>
              </w:rPr>
            </w:pPr>
            <w:r w:rsidRPr="0007619F">
              <w:rPr>
                <w:rFonts w:asciiTheme="majorHAnsi" w:hAnsiTheme="majorHAnsi" w:cstheme="majorHAnsi"/>
                <w:sz w:val="18"/>
                <w:szCs w:val="18"/>
                <w:lang w:val="sr-Cyrl-RS"/>
              </w:rPr>
              <w:t>Уведен је м</w:t>
            </w:r>
            <w:r w:rsidR="00F82F78" w:rsidRPr="0007619F">
              <w:rPr>
                <w:rFonts w:asciiTheme="majorHAnsi" w:hAnsiTheme="majorHAnsi" w:cstheme="majorHAnsi"/>
                <w:sz w:val="18"/>
                <w:szCs w:val="18"/>
                <w:lang w:val="sr-Cyrl-RS"/>
              </w:rPr>
              <w:t>етод дупле дефлације</w:t>
            </w:r>
            <w:r w:rsidRPr="0007619F">
              <w:rPr>
                <w:rFonts w:asciiTheme="majorHAnsi" w:hAnsiTheme="majorHAnsi" w:cstheme="majorHAnsi"/>
                <w:sz w:val="18"/>
                <w:szCs w:val="18"/>
                <w:lang w:val="sr-Cyrl-RS"/>
              </w:rPr>
              <w:t xml:space="preserve"> у делатностима где је</w:t>
            </w:r>
            <w:r w:rsidR="00F8601B" w:rsidRPr="0007619F">
              <w:rPr>
                <w:rFonts w:asciiTheme="majorHAnsi" w:hAnsiTheme="majorHAnsi" w:cstheme="majorHAnsi"/>
                <w:sz w:val="18"/>
                <w:szCs w:val="18"/>
                <w:lang w:val="sr-Cyrl-RS"/>
              </w:rPr>
              <w:t xml:space="preserve"> то</w:t>
            </w:r>
            <w:r w:rsidR="00F82F78" w:rsidRPr="0007619F">
              <w:rPr>
                <w:rFonts w:asciiTheme="majorHAnsi" w:hAnsiTheme="majorHAnsi" w:cstheme="majorHAnsi"/>
                <w:sz w:val="18"/>
                <w:szCs w:val="18"/>
                <w:lang w:val="sr-Cyrl-RS"/>
              </w:rPr>
              <w:t xml:space="preserve"> било могуће, односно тамо где су дефлатори били </w:t>
            </w:r>
            <w:r w:rsidRPr="0007619F">
              <w:rPr>
                <w:rFonts w:asciiTheme="majorHAnsi" w:hAnsiTheme="majorHAnsi" w:cstheme="majorHAnsi"/>
                <w:sz w:val="18"/>
                <w:szCs w:val="18"/>
                <w:lang w:val="sr-Cyrl-RS"/>
              </w:rPr>
              <w:t>расположиви</w:t>
            </w:r>
          </w:p>
          <w:p w:rsidR="00F82F78" w:rsidRPr="0007619F" w:rsidRDefault="00F8601B" w:rsidP="007B3628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 w:cstheme="majorHAnsi"/>
                <w:sz w:val="18"/>
                <w:szCs w:val="18"/>
                <w:lang w:val="sr-Cyrl-RS"/>
              </w:rPr>
            </w:pPr>
            <w:r w:rsidRPr="0007619F">
              <w:rPr>
                <w:rFonts w:asciiTheme="majorHAnsi" w:hAnsiTheme="majorHAnsi" w:cstheme="majorHAnsi"/>
                <w:sz w:val="18"/>
                <w:szCs w:val="18"/>
                <w:lang w:val="sr-Cyrl-RS"/>
              </w:rPr>
              <w:t>Комплетирана је серија</w:t>
            </w:r>
            <w:r w:rsidR="00F82F78" w:rsidRPr="0007619F">
              <w:rPr>
                <w:rFonts w:asciiTheme="majorHAnsi" w:hAnsiTheme="majorHAnsi" w:cstheme="majorHAnsi"/>
                <w:sz w:val="18"/>
                <w:szCs w:val="18"/>
                <w:lang w:val="sr-Cyrl-RS"/>
              </w:rPr>
              <w:t xml:space="preserve"> података</w:t>
            </w:r>
            <w:r w:rsidR="008A6D5C" w:rsidRPr="0007619F">
              <w:rPr>
                <w:rFonts w:asciiTheme="majorHAnsi" w:hAnsiTheme="majorHAnsi" w:cstheme="majorHAnsi"/>
                <w:sz w:val="18"/>
                <w:szCs w:val="18"/>
                <w:lang w:val="sr-Cyrl-RS"/>
              </w:rPr>
              <w:t>, укључивањем</w:t>
            </w:r>
            <w:r w:rsidR="00F82F78" w:rsidRPr="0007619F">
              <w:rPr>
                <w:rFonts w:asciiTheme="majorHAnsi" w:hAnsiTheme="majorHAnsi" w:cstheme="majorHAnsi"/>
                <w:sz w:val="18"/>
                <w:szCs w:val="18"/>
                <w:lang w:val="sr-Cyrl-RS"/>
              </w:rPr>
              <w:t xml:space="preserve"> обрачуна БДП</w:t>
            </w:r>
            <w:r w:rsidR="00840512" w:rsidRPr="0007619F">
              <w:rPr>
                <w:rFonts w:asciiTheme="majorHAnsi" w:hAnsiTheme="majorHAnsi" w:cstheme="majorHAnsi"/>
                <w:sz w:val="18"/>
                <w:szCs w:val="18"/>
                <w:lang w:val="sr-Latn-RS"/>
              </w:rPr>
              <w:t>-</w:t>
            </w:r>
            <w:r w:rsidR="008F563A" w:rsidRPr="0007619F">
              <w:rPr>
                <w:rFonts w:asciiTheme="majorHAnsi" w:hAnsiTheme="majorHAnsi" w:cstheme="majorHAnsi"/>
                <w:sz w:val="18"/>
                <w:szCs w:val="18"/>
              </w:rPr>
              <w:t>a</w:t>
            </w:r>
            <w:r w:rsidR="00F82F78" w:rsidRPr="0007619F">
              <w:rPr>
                <w:rFonts w:asciiTheme="majorHAnsi" w:hAnsiTheme="majorHAnsi" w:cstheme="majorHAnsi"/>
                <w:sz w:val="18"/>
                <w:szCs w:val="18"/>
                <w:lang w:val="sr-Cyrl-RS"/>
              </w:rPr>
              <w:t xml:space="preserve"> за 1995. и 1996. годину</w:t>
            </w:r>
          </w:p>
          <w:p w:rsidR="005972D1" w:rsidRPr="0007619F" w:rsidRDefault="00F82F78" w:rsidP="007B3628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 w:cstheme="majorHAnsi"/>
                <w:sz w:val="18"/>
                <w:szCs w:val="18"/>
                <w:lang w:val="sr-Cyrl-RS"/>
              </w:rPr>
            </w:pPr>
            <w:r w:rsidRPr="0007619F">
              <w:rPr>
                <w:rFonts w:asciiTheme="majorHAnsi" w:hAnsiTheme="majorHAnsi" w:cstheme="majorHAnsi"/>
                <w:sz w:val="18"/>
                <w:szCs w:val="18"/>
                <w:lang w:val="sr-Cyrl-RS"/>
              </w:rPr>
              <w:t xml:space="preserve">Ревидирана </w:t>
            </w:r>
            <w:r w:rsidR="00F8601B" w:rsidRPr="0007619F">
              <w:rPr>
                <w:rFonts w:asciiTheme="majorHAnsi" w:hAnsiTheme="majorHAnsi" w:cstheme="majorHAnsi"/>
                <w:sz w:val="18"/>
                <w:szCs w:val="18"/>
                <w:lang w:val="sr-Cyrl-RS"/>
              </w:rPr>
              <w:t xml:space="preserve">је </w:t>
            </w:r>
            <w:r w:rsidRPr="0007619F">
              <w:rPr>
                <w:rFonts w:asciiTheme="majorHAnsi" w:hAnsiTheme="majorHAnsi" w:cstheme="majorHAnsi"/>
                <w:sz w:val="18"/>
                <w:szCs w:val="18"/>
                <w:lang w:val="sr-Cyrl-RS"/>
              </w:rPr>
              <w:t xml:space="preserve">серија података </w:t>
            </w:r>
            <w:r w:rsidR="008A6D5C" w:rsidRPr="0007619F">
              <w:rPr>
                <w:rFonts w:asciiTheme="majorHAnsi" w:hAnsiTheme="majorHAnsi" w:cstheme="majorHAnsi"/>
                <w:sz w:val="18"/>
                <w:szCs w:val="18"/>
                <w:lang w:val="sr-Cyrl-RS"/>
              </w:rPr>
              <w:t xml:space="preserve">за период </w:t>
            </w:r>
            <w:r w:rsidR="005972D1" w:rsidRPr="0007619F">
              <w:rPr>
                <w:rFonts w:asciiTheme="majorHAnsi" w:hAnsiTheme="majorHAnsi" w:cstheme="majorHAnsi"/>
                <w:sz w:val="18"/>
                <w:szCs w:val="18"/>
                <w:lang w:val="sr-Cyrl-RS"/>
              </w:rPr>
              <w:t>1997</w:t>
            </w:r>
            <w:r w:rsidR="001109DA">
              <w:rPr>
                <w:rFonts w:ascii="Arial" w:hAnsi="Arial" w:cs="Arial"/>
                <w:sz w:val="18"/>
                <w:szCs w:val="18"/>
                <w:lang w:val="sr-Cyrl-RS"/>
              </w:rPr>
              <w:t>‒</w:t>
            </w:r>
            <w:r w:rsidR="005972D1" w:rsidRPr="0007619F">
              <w:rPr>
                <w:rFonts w:asciiTheme="majorHAnsi" w:hAnsiTheme="majorHAnsi" w:cstheme="majorHAnsi"/>
                <w:sz w:val="18"/>
                <w:szCs w:val="18"/>
                <w:lang w:val="sr-Cyrl-RS"/>
              </w:rPr>
              <w:t>2012</w:t>
            </w:r>
            <w:r w:rsidRPr="0007619F">
              <w:rPr>
                <w:rFonts w:asciiTheme="majorHAnsi" w:hAnsiTheme="majorHAnsi" w:cstheme="majorHAnsi"/>
                <w:sz w:val="18"/>
                <w:szCs w:val="18"/>
                <w:lang w:val="sr-Latn-RS"/>
              </w:rPr>
              <w:t xml:space="preserve">. </w:t>
            </w:r>
          </w:p>
        </w:tc>
      </w:tr>
      <w:tr w:rsidR="002E3B71" w:rsidRPr="006C7B09" w:rsidTr="00DA595F">
        <w:trPr>
          <w:trHeight w:val="1835"/>
          <w:jc w:val="center"/>
        </w:trPr>
        <w:tc>
          <w:tcPr>
            <w:tcW w:w="1475" w:type="dxa"/>
            <w:vAlign w:val="center"/>
          </w:tcPr>
          <w:p w:rsidR="002E3B71" w:rsidRPr="0007619F" w:rsidRDefault="002E3B71" w:rsidP="001365BC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 w:val="sr-Latn-RS"/>
              </w:rPr>
            </w:pPr>
            <w:r w:rsidRPr="0007619F">
              <w:rPr>
                <w:rFonts w:asciiTheme="majorHAnsi" w:hAnsiTheme="majorHAnsi" w:cstheme="majorHAnsi"/>
                <w:b/>
                <w:sz w:val="18"/>
                <w:szCs w:val="18"/>
                <w:lang w:val="sr-Latn-RS"/>
              </w:rPr>
              <w:t>2018-2019</w:t>
            </w:r>
          </w:p>
        </w:tc>
        <w:tc>
          <w:tcPr>
            <w:tcW w:w="7839" w:type="dxa"/>
            <w:vAlign w:val="center"/>
          </w:tcPr>
          <w:p w:rsidR="002E3B71" w:rsidRPr="0007619F" w:rsidRDefault="005F568E" w:rsidP="007B3628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 w:cstheme="majorHAnsi"/>
                <w:sz w:val="18"/>
                <w:szCs w:val="18"/>
                <w:lang w:val="sr-Cyrl-RS"/>
              </w:rPr>
            </w:pPr>
            <w:r w:rsidRPr="0007619F">
              <w:rPr>
                <w:rFonts w:asciiTheme="majorHAnsi" w:hAnsiTheme="majorHAnsi" w:cstheme="majorHAnsi"/>
                <w:sz w:val="18"/>
                <w:szCs w:val="18"/>
                <w:lang w:val="sr-Cyrl-RS"/>
              </w:rPr>
              <w:t>Побољшана је усаглашеност</w:t>
            </w:r>
            <w:r w:rsidR="008A6D5C" w:rsidRPr="0007619F">
              <w:rPr>
                <w:rFonts w:asciiTheme="majorHAnsi" w:hAnsiTheme="majorHAnsi" w:cstheme="majorHAnsi"/>
                <w:sz w:val="18"/>
                <w:szCs w:val="18"/>
                <w:lang w:val="sr-Cyrl-RS"/>
              </w:rPr>
              <w:t xml:space="preserve"> обрачуна</w:t>
            </w:r>
            <w:r w:rsidR="002E3B71" w:rsidRPr="0007619F">
              <w:rPr>
                <w:rFonts w:asciiTheme="majorHAnsi" w:hAnsiTheme="majorHAnsi" w:cstheme="majorHAnsi"/>
                <w:sz w:val="18"/>
                <w:szCs w:val="18"/>
                <w:lang w:val="sr-Cyrl-RS"/>
              </w:rPr>
              <w:t xml:space="preserve"> националних рачуна </w:t>
            </w:r>
            <w:r w:rsidR="008A6D5C" w:rsidRPr="0007619F">
              <w:rPr>
                <w:rFonts w:asciiTheme="majorHAnsi" w:hAnsiTheme="majorHAnsi" w:cstheme="majorHAnsi"/>
                <w:sz w:val="18"/>
                <w:szCs w:val="18"/>
                <w:lang w:val="sr-Cyrl-RS"/>
              </w:rPr>
              <w:t xml:space="preserve">са </w:t>
            </w:r>
            <w:r w:rsidR="002E3B71" w:rsidRPr="0007619F">
              <w:rPr>
                <w:rFonts w:asciiTheme="majorHAnsi" w:hAnsiTheme="majorHAnsi" w:cstheme="majorHAnsi"/>
                <w:i/>
                <w:sz w:val="18"/>
                <w:szCs w:val="18"/>
                <w:lang w:val="sr-Cyrl-RS"/>
              </w:rPr>
              <w:t>ЕSA</w:t>
            </w:r>
            <w:r w:rsidR="008A6D5C" w:rsidRPr="0007619F">
              <w:rPr>
                <w:rFonts w:asciiTheme="majorHAnsi" w:hAnsiTheme="majorHAnsi" w:cstheme="majorHAnsi"/>
                <w:i/>
                <w:sz w:val="18"/>
                <w:szCs w:val="18"/>
                <w:lang w:val="sr-Cyrl-RS"/>
              </w:rPr>
              <w:t xml:space="preserve"> </w:t>
            </w:r>
            <w:r w:rsidR="002E3B71" w:rsidRPr="0007619F">
              <w:rPr>
                <w:rFonts w:asciiTheme="majorHAnsi" w:hAnsiTheme="majorHAnsi" w:cstheme="majorHAnsi"/>
                <w:i/>
                <w:sz w:val="18"/>
                <w:szCs w:val="18"/>
                <w:lang w:val="sr-Cyrl-RS"/>
              </w:rPr>
              <w:t>2010</w:t>
            </w:r>
          </w:p>
          <w:p w:rsidR="001C0B8B" w:rsidRPr="0007619F" w:rsidRDefault="000A02B4" w:rsidP="007B3628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 w:cstheme="majorHAnsi"/>
                <w:sz w:val="18"/>
                <w:szCs w:val="18"/>
                <w:lang w:val="sr-Cyrl-RS"/>
              </w:rPr>
            </w:pPr>
            <w:r w:rsidRPr="0007619F">
              <w:rPr>
                <w:rFonts w:asciiTheme="majorHAnsi" w:hAnsiTheme="majorHAnsi" w:cstheme="majorHAnsi"/>
                <w:sz w:val="18"/>
                <w:szCs w:val="18"/>
                <w:lang w:val="sr-Cyrl-RS"/>
              </w:rPr>
              <w:t>Приме</w:t>
            </w:r>
            <w:r w:rsidR="005F568E" w:rsidRPr="0007619F">
              <w:rPr>
                <w:rFonts w:asciiTheme="majorHAnsi" w:hAnsiTheme="majorHAnsi" w:cstheme="majorHAnsi"/>
                <w:sz w:val="18"/>
                <w:szCs w:val="18"/>
                <w:lang w:val="sr-Cyrl-RS"/>
              </w:rPr>
              <w:t>ње</w:t>
            </w:r>
            <w:r w:rsidR="003D36AC" w:rsidRPr="0007619F">
              <w:rPr>
                <w:rFonts w:asciiTheme="majorHAnsi" w:hAnsiTheme="majorHAnsi" w:cstheme="majorHAnsi"/>
                <w:sz w:val="18"/>
                <w:szCs w:val="18"/>
                <w:lang w:val="sr-Cyrl-RS"/>
              </w:rPr>
              <w:t>н</w:t>
            </w:r>
            <w:r w:rsidRPr="0007619F">
              <w:rPr>
                <w:rFonts w:asciiTheme="majorHAnsi" w:hAnsiTheme="majorHAnsi" w:cstheme="majorHAnsi"/>
                <w:sz w:val="18"/>
                <w:szCs w:val="18"/>
                <w:lang w:val="sr-Cyrl-RS"/>
              </w:rPr>
              <w:t xml:space="preserve">а </w:t>
            </w:r>
            <w:r w:rsidR="005F568E" w:rsidRPr="0007619F">
              <w:rPr>
                <w:rFonts w:asciiTheme="majorHAnsi" w:hAnsiTheme="majorHAnsi" w:cstheme="majorHAnsi"/>
                <w:sz w:val="18"/>
                <w:szCs w:val="18"/>
                <w:lang w:val="sr-Cyrl-RS"/>
              </w:rPr>
              <w:t xml:space="preserve">је </w:t>
            </w:r>
            <w:r w:rsidR="001C0B8B" w:rsidRPr="0007619F">
              <w:rPr>
                <w:rFonts w:asciiTheme="majorHAnsi" w:hAnsiTheme="majorHAnsi" w:cstheme="majorHAnsi"/>
                <w:sz w:val="18"/>
                <w:szCs w:val="18"/>
                <w:lang w:val="sr-Cyrl-RS"/>
              </w:rPr>
              <w:t>секторск</w:t>
            </w:r>
            <w:r w:rsidR="005F568E" w:rsidRPr="0007619F">
              <w:rPr>
                <w:rFonts w:asciiTheme="majorHAnsi" w:hAnsiTheme="majorHAnsi" w:cstheme="majorHAnsi"/>
                <w:sz w:val="18"/>
                <w:szCs w:val="18"/>
                <w:lang w:val="sr-Cyrl-RS"/>
              </w:rPr>
              <w:t>а</w:t>
            </w:r>
            <w:r w:rsidR="001C0B8B" w:rsidRPr="0007619F">
              <w:rPr>
                <w:rFonts w:asciiTheme="majorHAnsi" w:hAnsiTheme="majorHAnsi" w:cstheme="majorHAnsi"/>
                <w:sz w:val="18"/>
                <w:szCs w:val="18"/>
                <w:lang w:val="sr-Cyrl-RS"/>
              </w:rPr>
              <w:t xml:space="preserve"> класификациј</w:t>
            </w:r>
            <w:r w:rsidR="005F568E" w:rsidRPr="0007619F">
              <w:rPr>
                <w:rFonts w:asciiTheme="majorHAnsi" w:hAnsiTheme="majorHAnsi" w:cstheme="majorHAnsi"/>
                <w:sz w:val="18"/>
                <w:szCs w:val="18"/>
                <w:lang w:val="sr-Cyrl-RS"/>
              </w:rPr>
              <w:t>а</w:t>
            </w:r>
            <w:r w:rsidR="001C0B8B" w:rsidRPr="0007619F">
              <w:rPr>
                <w:rFonts w:asciiTheme="majorHAnsi" w:hAnsiTheme="majorHAnsi" w:cstheme="majorHAnsi"/>
                <w:sz w:val="18"/>
                <w:szCs w:val="18"/>
                <w:lang w:val="sr-Cyrl-RS"/>
              </w:rPr>
              <w:t xml:space="preserve"> усаглашен</w:t>
            </w:r>
            <w:r w:rsidR="005F568E" w:rsidRPr="0007619F">
              <w:rPr>
                <w:rFonts w:asciiTheme="majorHAnsi" w:hAnsiTheme="majorHAnsi" w:cstheme="majorHAnsi"/>
                <w:sz w:val="18"/>
                <w:szCs w:val="18"/>
                <w:lang w:val="sr-Cyrl-RS"/>
              </w:rPr>
              <w:t>а</w:t>
            </w:r>
            <w:r w:rsidR="001C0B8B" w:rsidRPr="0007619F">
              <w:rPr>
                <w:rFonts w:asciiTheme="majorHAnsi" w:hAnsiTheme="majorHAnsi" w:cstheme="majorHAnsi"/>
                <w:sz w:val="18"/>
                <w:szCs w:val="18"/>
                <w:lang w:val="sr-Cyrl-RS"/>
              </w:rPr>
              <w:t xml:space="preserve"> са препорукама </w:t>
            </w:r>
            <w:r w:rsidR="001C0B8B" w:rsidRPr="0007619F">
              <w:rPr>
                <w:rFonts w:asciiTheme="majorHAnsi" w:hAnsiTheme="majorHAnsi" w:cstheme="majorHAnsi"/>
                <w:i/>
                <w:sz w:val="18"/>
                <w:szCs w:val="18"/>
                <w:lang w:val="sr-Cyrl-RS"/>
              </w:rPr>
              <w:t>ЕSA 2010</w:t>
            </w:r>
          </w:p>
          <w:p w:rsidR="000A02B4" w:rsidRPr="0007619F" w:rsidRDefault="008A6D5C" w:rsidP="007B3628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 w:cstheme="majorHAnsi"/>
                <w:sz w:val="18"/>
                <w:szCs w:val="18"/>
                <w:lang w:val="sr-Cyrl-RS"/>
              </w:rPr>
            </w:pPr>
            <w:r w:rsidRPr="0007619F">
              <w:rPr>
                <w:rFonts w:asciiTheme="majorHAnsi" w:hAnsiTheme="majorHAnsi" w:cstheme="majorHAnsi"/>
                <w:sz w:val="18"/>
                <w:szCs w:val="18"/>
                <w:lang w:val="sr-Cyrl-RS"/>
              </w:rPr>
              <w:t>Примењени</w:t>
            </w:r>
            <w:r w:rsidR="00792FB1" w:rsidRPr="0007619F">
              <w:rPr>
                <w:rFonts w:asciiTheme="majorHAnsi" w:hAnsiTheme="majorHAnsi" w:cstheme="majorHAnsi"/>
                <w:sz w:val="18"/>
                <w:szCs w:val="18"/>
                <w:lang w:val="sr-Cyrl-RS"/>
              </w:rPr>
              <w:t xml:space="preserve"> су</w:t>
            </w:r>
            <w:r w:rsidRPr="0007619F">
              <w:rPr>
                <w:rFonts w:asciiTheme="majorHAnsi" w:hAnsiTheme="majorHAnsi" w:cstheme="majorHAnsi"/>
                <w:sz w:val="18"/>
                <w:szCs w:val="18"/>
                <w:lang w:val="sr-Cyrl-RS"/>
              </w:rPr>
              <w:t xml:space="preserve"> резултати обрачуна</w:t>
            </w:r>
            <w:r w:rsidR="000A02B4" w:rsidRPr="0007619F">
              <w:rPr>
                <w:rFonts w:asciiTheme="majorHAnsi" w:hAnsiTheme="majorHAnsi" w:cstheme="majorHAnsi"/>
                <w:sz w:val="18"/>
                <w:szCs w:val="18"/>
                <w:lang w:val="sr-Cyrl-RS"/>
              </w:rPr>
              <w:t xml:space="preserve"> економски</w:t>
            </w:r>
            <w:r w:rsidRPr="0007619F">
              <w:rPr>
                <w:rFonts w:asciiTheme="majorHAnsi" w:hAnsiTheme="majorHAnsi" w:cstheme="majorHAnsi"/>
                <w:sz w:val="18"/>
                <w:szCs w:val="18"/>
                <w:lang w:val="sr-Cyrl-RS"/>
              </w:rPr>
              <w:t>х рачуна</w:t>
            </w:r>
            <w:r w:rsidR="000A02B4" w:rsidRPr="0007619F">
              <w:rPr>
                <w:rFonts w:asciiTheme="majorHAnsi" w:hAnsiTheme="majorHAnsi" w:cstheme="majorHAnsi"/>
                <w:sz w:val="18"/>
                <w:szCs w:val="18"/>
                <w:lang w:val="sr-Cyrl-RS"/>
              </w:rPr>
              <w:t xml:space="preserve"> пољопривреде (</w:t>
            </w:r>
            <w:r w:rsidR="000A02B4" w:rsidRPr="0007619F">
              <w:rPr>
                <w:rFonts w:asciiTheme="majorHAnsi" w:hAnsiTheme="majorHAnsi" w:cstheme="majorHAnsi"/>
                <w:i/>
                <w:sz w:val="18"/>
                <w:szCs w:val="18"/>
                <w:lang w:val="sr-Cyrl-RS"/>
              </w:rPr>
              <w:t>ЕАА</w:t>
            </w:r>
            <w:r w:rsidR="000A02B4" w:rsidRPr="0007619F">
              <w:rPr>
                <w:rFonts w:asciiTheme="majorHAnsi" w:hAnsiTheme="majorHAnsi" w:cstheme="majorHAnsi"/>
                <w:sz w:val="18"/>
                <w:szCs w:val="18"/>
                <w:lang w:val="sr-Cyrl-RS"/>
              </w:rPr>
              <w:t>)</w:t>
            </w:r>
          </w:p>
          <w:p w:rsidR="000A02B4" w:rsidRPr="0007619F" w:rsidRDefault="001C0B8B" w:rsidP="009731F0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 w:cstheme="majorHAnsi"/>
                <w:sz w:val="18"/>
                <w:szCs w:val="18"/>
                <w:lang w:val="sr-Cyrl-RS"/>
              </w:rPr>
            </w:pPr>
            <w:r w:rsidRPr="0007619F">
              <w:rPr>
                <w:rFonts w:asciiTheme="majorHAnsi" w:hAnsiTheme="majorHAnsi" w:cstheme="majorHAnsi"/>
                <w:sz w:val="18"/>
                <w:szCs w:val="18"/>
                <w:lang w:val="sr-Cyrl-RS"/>
              </w:rPr>
              <w:t>Уведен</w:t>
            </w:r>
            <w:r w:rsidR="00792FB1" w:rsidRPr="0007619F">
              <w:rPr>
                <w:rFonts w:asciiTheme="majorHAnsi" w:hAnsiTheme="majorHAnsi" w:cstheme="majorHAnsi"/>
                <w:sz w:val="18"/>
                <w:szCs w:val="18"/>
                <w:lang w:val="sr-Cyrl-RS"/>
              </w:rPr>
              <w:t xml:space="preserve"> је</w:t>
            </w:r>
            <w:r w:rsidRPr="0007619F">
              <w:rPr>
                <w:rFonts w:asciiTheme="majorHAnsi" w:hAnsiTheme="majorHAnsi" w:cstheme="majorHAnsi"/>
                <w:sz w:val="18"/>
                <w:szCs w:val="18"/>
                <w:lang w:val="sr-Cyrl-RS"/>
              </w:rPr>
              <w:t xml:space="preserve"> систем</w:t>
            </w:r>
            <w:r w:rsidR="009731F0" w:rsidRPr="0007619F">
              <w:rPr>
                <w:rFonts w:asciiTheme="majorHAnsi" w:hAnsiTheme="majorHAnsi" w:cstheme="majorHAnsi"/>
                <w:sz w:val="18"/>
                <w:szCs w:val="18"/>
                <w:lang w:val="sr-Cyrl-RS"/>
              </w:rPr>
              <w:t xml:space="preserve"> </w:t>
            </w:r>
            <w:r w:rsidR="009731F0" w:rsidRPr="0007619F">
              <w:rPr>
                <w:rFonts w:asciiTheme="majorHAnsi" w:hAnsiTheme="majorHAnsi" w:cstheme="majorHAnsi"/>
                <w:i/>
                <w:sz w:val="18"/>
                <w:szCs w:val="18"/>
                <w:lang w:val="sr-Cyrl-RS"/>
              </w:rPr>
              <w:t>SUT-IOT</w:t>
            </w:r>
            <w:r w:rsidR="009731F0" w:rsidRPr="0007619F">
              <w:rPr>
                <w:rFonts w:asciiTheme="majorHAnsi" w:hAnsiTheme="majorHAnsi" w:cstheme="majorHAnsi"/>
                <w:sz w:val="18"/>
                <w:szCs w:val="18"/>
                <w:lang w:val="sr-Cyrl-RS"/>
              </w:rPr>
              <w:t xml:space="preserve"> </w:t>
            </w:r>
            <w:r w:rsidRPr="0007619F">
              <w:rPr>
                <w:rFonts w:asciiTheme="majorHAnsi" w:hAnsiTheme="majorHAnsi" w:cstheme="majorHAnsi"/>
                <w:sz w:val="18"/>
                <w:szCs w:val="18"/>
                <w:lang w:val="sr-Cyrl-RS"/>
              </w:rPr>
              <w:t>у националне рачуне</w:t>
            </w:r>
          </w:p>
          <w:p w:rsidR="004D51F6" w:rsidRPr="0007619F" w:rsidRDefault="004D51F6" w:rsidP="007B3628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 w:cstheme="majorHAnsi"/>
                <w:sz w:val="18"/>
                <w:szCs w:val="18"/>
                <w:lang w:val="sr-Cyrl-RS"/>
              </w:rPr>
            </w:pPr>
            <w:r w:rsidRPr="0007619F">
              <w:rPr>
                <w:rFonts w:asciiTheme="majorHAnsi" w:hAnsiTheme="majorHAnsi" w:cstheme="majorHAnsi"/>
                <w:sz w:val="18"/>
                <w:szCs w:val="18"/>
                <w:lang w:val="sr-Cyrl-RS"/>
              </w:rPr>
              <w:t>Ревидирана</w:t>
            </w:r>
            <w:r w:rsidR="00F8601B" w:rsidRPr="0007619F">
              <w:rPr>
                <w:rFonts w:asciiTheme="majorHAnsi" w:hAnsiTheme="majorHAnsi" w:cstheme="majorHAnsi"/>
                <w:sz w:val="18"/>
                <w:szCs w:val="18"/>
                <w:lang w:val="sr-Cyrl-RS"/>
              </w:rPr>
              <w:t xml:space="preserve"> је</w:t>
            </w:r>
            <w:r w:rsidRPr="0007619F">
              <w:rPr>
                <w:rFonts w:asciiTheme="majorHAnsi" w:hAnsiTheme="majorHAnsi" w:cstheme="majorHAnsi"/>
                <w:sz w:val="18"/>
                <w:szCs w:val="18"/>
                <w:lang w:val="sr-Cyrl-RS"/>
              </w:rPr>
              <w:t xml:space="preserve"> серија података </w:t>
            </w:r>
            <w:r w:rsidR="00672243" w:rsidRPr="0007619F">
              <w:rPr>
                <w:rFonts w:asciiTheme="majorHAnsi" w:hAnsiTheme="majorHAnsi" w:cstheme="majorHAnsi"/>
                <w:sz w:val="18"/>
                <w:szCs w:val="18"/>
                <w:lang w:val="sr-Cyrl-RS"/>
              </w:rPr>
              <w:t xml:space="preserve">за период </w:t>
            </w:r>
            <w:r w:rsidRPr="0007619F">
              <w:rPr>
                <w:rFonts w:asciiTheme="majorHAnsi" w:hAnsiTheme="majorHAnsi" w:cstheme="majorHAnsi"/>
                <w:sz w:val="18"/>
                <w:szCs w:val="18"/>
                <w:lang w:val="sr-Cyrl-RS"/>
              </w:rPr>
              <w:t>1995</w:t>
            </w:r>
            <w:r w:rsidR="001109DA">
              <w:rPr>
                <w:rFonts w:ascii="Arial" w:hAnsi="Arial" w:cs="Arial"/>
                <w:sz w:val="18"/>
                <w:szCs w:val="18"/>
                <w:lang w:val="sr-Cyrl-RS"/>
              </w:rPr>
              <w:t>‒</w:t>
            </w:r>
            <w:r w:rsidRPr="0007619F">
              <w:rPr>
                <w:rFonts w:asciiTheme="majorHAnsi" w:hAnsiTheme="majorHAnsi" w:cstheme="majorHAnsi"/>
                <w:sz w:val="18"/>
                <w:szCs w:val="18"/>
                <w:lang w:val="sr-Cyrl-RS"/>
              </w:rPr>
              <w:t>2017</w:t>
            </w:r>
            <w:r w:rsidR="00672243" w:rsidRPr="0007619F">
              <w:rPr>
                <w:rFonts w:asciiTheme="majorHAnsi" w:hAnsiTheme="majorHAnsi" w:cstheme="majorHAnsi"/>
                <w:sz w:val="18"/>
                <w:szCs w:val="18"/>
                <w:lang w:val="sr-Latn-RS"/>
              </w:rPr>
              <w:t>.</w:t>
            </w:r>
          </w:p>
        </w:tc>
      </w:tr>
    </w:tbl>
    <w:p w:rsidR="005972D1" w:rsidRPr="006C7B09" w:rsidRDefault="005972D1" w:rsidP="00113BB6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  <w:lang w:val="sr-Cyrl-RS"/>
        </w:rPr>
      </w:pPr>
    </w:p>
    <w:p w:rsidR="001E30C2" w:rsidRDefault="001C6CC1" w:rsidP="00113BB6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  <w:lang w:val="sr-Cyrl-RS"/>
        </w:rPr>
      </w:pPr>
      <w:r w:rsidRPr="006C7B09">
        <w:rPr>
          <w:rFonts w:asciiTheme="majorHAnsi" w:hAnsiTheme="majorHAnsi" w:cstheme="majorHAnsi"/>
          <w:sz w:val="20"/>
          <w:szCs w:val="20"/>
          <w:lang w:val="sr-Cyrl-RS"/>
        </w:rPr>
        <w:t>Велике ревизије на</w:t>
      </w:r>
      <w:r w:rsidR="001E30C2" w:rsidRPr="006C7B09">
        <w:rPr>
          <w:rFonts w:asciiTheme="majorHAnsi" w:hAnsiTheme="majorHAnsi" w:cstheme="majorHAnsi"/>
          <w:sz w:val="20"/>
          <w:szCs w:val="20"/>
          <w:lang w:val="sr-Cyrl-RS"/>
        </w:rPr>
        <w:t>јав</w:t>
      </w:r>
      <w:r w:rsidRPr="006C7B09">
        <w:rPr>
          <w:rFonts w:asciiTheme="majorHAnsi" w:hAnsiTheme="majorHAnsi" w:cstheme="majorHAnsi"/>
          <w:sz w:val="20"/>
          <w:szCs w:val="20"/>
          <w:lang w:val="sr-Cyrl-RS"/>
        </w:rPr>
        <w:t>љују се знатно пре датума о</w:t>
      </w:r>
      <w:r w:rsidR="001E30C2" w:rsidRPr="006C7B09">
        <w:rPr>
          <w:rFonts w:asciiTheme="majorHAnsi" w:hAnsiTheme="majorHAnsi" w:cstheme="majorHAnsi"/>
          <w:sz w:val="20"/>
          <w:szCs w:val="20"/>
          <w:lang w:val="sr-Cyrl-RS"/>
        </w:rPr>
        <w:t>бјављивања ревидираних података</w:t>
      </w:r>
      <w:r w:rsidRPr="006C7B09">
        <w:rPr>
          <w:rFonts w:asciiTheme="majorHAnsi" w:hAnsiTheme="majorHAnsi" w:cstheme="majorHAnsi"/>
          <w:sz w:val="20"/>
          <w:szCs w:val="20"/>
          <w:lang w:val="sr-Cyrl-RS"/>
        </w:rPr>
        <w:t xml:space="preserve"> и </w:t>
      </w:r>
      <w:r w:rsidR="001E30C2" w:rsidRPr="006C7B09">
        <w:rPr>
          <w:rFonts w:asciiTheme="majorHAnsi" w:hAnsiTheme="majorHAnsi" w:cstheme="majorHAnsi"/>
          <w:sz w:val="20"/>
          <w:szCs w:val="20"/>
          <w:lang w:val="sr-Cyrl-RS"/>
        </w:rPr>
        <w:t xml:space="preserve">корисници </w:t>
      </w:r>
      <w:r w:rsidRPr="006C7B09">
        <w:rPr>
          <w:rFonts w:asciiTheme="majorHAnsi" w:hAnsiTheme="majorHAnsi" w:cstheme="majorHAnsi"/>
          <w:sz w:val="20"/>
          <w:szCs w:val="20"/>
          <w:lang w:val="sr-Cyrl-RS"/>
        </w:rPr>
        <w:t xml:space="preserve">се информишу </w:t>
      </w:r>
      <w:r w:rsidR="001E30C2" w:rsidRPr="006C7B09">
        <w:rPr>
          <w:rFonts w:asciiTheme="majorHAnsi" w:hAnsiTheme="majorHAnsi" w:cstheme="majorHAnsi"/>
          <w:sz w:val="20"/>
          <w:szCs w:val="20"/>
          <w:lang w:val="sr-Cyrl-RS"/>
        </w:rPr>
        <w:t>о њено</w:t>
      </w:r>
      <w:r w:rsidRPr="006C7B09">
        <w:rPr>
          <w:rFonts w:asciiTheme="majorHAnsi" w:hAnsiTheme="majorHAnsi" w:cstheme="majorHAnsi"/>
          <w:sz w:val="20"/>
          <w:szCs w:val="20"/>
          <w:lang w:val="sr-Cyrl-RS"/>
        </w:rPr>
        <w:t>м</w:t>
      </w:r>
      <w:r w:rsidR="001E30C2" w:rsidRPr="006C7B09">
        <w:rPr>
          <w:rFonts w:asciiTheme="majorHAnsi" w:hAnsiTheme="majorHAnsi" w:cstheme="majorHAnsi"/>
          <w:sz w:val="20"/>
          <w:szCs w:val="20"/>
          <w:lang w:val="sr-Cyrl-RS"/>
        </w:rPr>
        <w:t xml:space="preserve"> </w:t>
      </w:r>
      <w:r w:rsidRPr="006C7B09">
        <w:rPr>
          <w:rFonts w:asciiTheme="majorHAnsi" w:hAnsiTheme="majorHAnsi" w:cstheme="majorHAnsi"/>
          <w:sz w:val="20"/>
          <w:szCs w:val="20"/>
          <w:lang w:val="sr-Cyrl-RS"/>
        </w:rPr>
        <w:t xml:space="preserve">спровођењу </w:t>
      </w:r>
      <w:r w:rsidR="001E30C2" w:rsidRPr="006C7B09">
        <w:rPr>
          <w:rFonts w:asciiTheme="majorHAnsi" w:hAnsiTheme="majorHAnsi" w:cstheme="majorHAnsi"/>
          <w:sz w:val="20"/>
          <w:szCs w:val="20"/>
          <w:lang w:val="sr-Cyrl-RS"/>
        </w:rPr>
        <w:t xml:space="preserve">у </w:t>
      </w:r>
      <w:r w:rsidRPr="006C7B09">
        <w:rPr>
          <w:rFonts w:asciiTheme="majorHAnsi" w:hAnsiTheme="majorHAnsi" w:cstheme="majorHAnsi"/>
          <w:sz w:val="20"/>
          <w:szCs w:val="20"/>
          <w:lang w:val="sr-Cyrl-RS"/>
        </w:rPr>
        <w:t xml:space="preserve">прописаним </w:t>
      </w:r>
      <w:r w:rsidR="001E30C2" w:rsidRPr="006C7B09">
        <w:rPr>
          <w:rFonts w:asciiTheme="majorHAnsi" w:hAnsiTheme="majorHAnsi" w:cstheme="majorHAnsi"/>
          <w:sz w:val="20"/>
          <w:szCs w:val="20"/>
          <w:lang w:val="sr-Cyrl-RS"/>
        </w:rPr>
        <w:t xml:space="preserve">роковима и </w:t>
      </w:r>
      <w:r w:rsidRPr="006C7B09">
        <w:rPr>
          <w:rFonts w:asciiTheme="majorHAnsi" w:hAnsiTheme="majorHAnsi" w:cstheme="majorHAnsi"/>
          <w:sz w:val="20"/>
          <w:szCs w:val="20"/>
          <w:lang w:val="sr-Cyrl-RS"/>
        </w:rPr>
        <w:t>форми</w:t>
      </w:r>
      <w:r w:rsidR="001E30C2" w:rsidRPr="006C7B09">
        <w:rPr>
          <w:rFonts w:asciiTheme="majorHAnsi" w:hAnsiTheme="majorHAnsi" w:cstheme="majorHAnsi"/>
          <w:sz w:val="20"/>
          <w:szCs w:val="20"/>
          <w:lang w:val="sr-Cyrl-RS"/>
        </w:rPr>
        <w:t xml:space="preserve">. </w:t>
      </w:r>
      <w:r w:rsidRPr="006C7B09">
        <w:rPr>
          <w:rFonts w:asciiTheme="majorHAnsi" w:hAnsiTheme="majorHAnsi" w:cstheme="majorHAnsi"/>
          <w:sz w:val="20"/>
          <w:szCs w:val="20"/>
          <w:lang w:val="sr-Cyrl-RS"/>
        </w:rPr>
        <w:t xml:space="preserve">Најава би требало да садржи </w:t>
      </w:r>
      <w:r w:rsidR="001E30C2" w:rsidRPr="006C7B09">
        <w:rPr>
          <w:rFonts w:asciiTheme="majorHAnsi" w:hAnsiTheme="majorHAnsi" w:cstheme="majorHAnsi"/>
          <w:sz w:val="20"/>
          <w:szCs w:val="20"/>
          <w:lang w:val="sr-Cyrl-RS"/>
        </w:rPr>
        <w:t>разло</w:t>
      </w:r>
      <w:r w:rsidRPr="006C7B09">
        <w:rPr>
          <w:rFonts w:asciiTheme="majorHAnsi" w:hAnsiTheme="majorHAnsi" w:cstheme="majorHAnsi"/>
          <w:sz w:val="20"/>
          <w:szCs w:val="20"/>
          <w:lang w:val="sr-Cyrl-RS"/>
        </w:rPr>
        <w:t>ге за</w:t>
      </w:r>
      <w:r w:rsidR="001E30C2" w:rsidRPr="006C7B09">
        <w:rPr>
          <w:rFonts w:asciiTheme="majorHAnsi" w:hAnsiTheme="majorHAnsi" w:cstheme="majorHAnsi"/>
          <w:sz w:val="20"/>
          <w:szCs w:val="20"/>
          <w:lang w:val="sr-Cyrl-RS"/>
        </w:rPr>
        <w:t xml:space="preserve"> ревизиј</w:t>
      </w:r>
      <w:r w:rsidRPr="006C7B09">
        <w:rPr>
          <w:rFonts w:asciiTheme="majorHAnsi" w:hAnsiTheme="majorHAnsi" w:cstheme="majorHAnsi"/>
          <w:sz w:val="20"/>
          <w:szCs w:val="20"/>
          <w:lang w:val="sr-Cyrl-RS"/>
        </w:rPr>
        <w:t>у</w:t>
      </w:r>
      <w:r w:rsidR="001E30C2" w:rsidRPr="006C7B09">
        <w:rPr>
          <w:rFonts w:asciiTheme="majorHAnsi" w:hAnsiTheme="majorHAnsi" w:cstheme="majorHAnsi"/>
          <w:sz w:val="20"/>
          <w:szCs w:val="20"/>
          <w:lang w:val="sr-Cyrl-RS"/>
        </w:rPr>
        <w:t>, датум објављивања ревидираних података</w:t>
      </w:r>
      <w:r w:rsidRPr="006C7B09">
        <w:rPr>
          <w:rFonts w:asciiTheme="majorHAnsi" w:hAnsiTheme="majorHAnsi" w:cstheme="majorHAnsi"/>
          <w:sz w:val="20"/>
          <w:szCs w:val="20"/>
          <w:lang w:val="sr-Cyrl-RS"/>
        </w:rPr>
        <w:t>, дужину</w:t>
      </w:r>
      <w:r w:rsidR="001E30C2" w:rsidRPr="006C7B09">
        <w:rPr>
          <w:rFonts w:asciiTheme="majorHAnsi" w:hAnsiTheme="majorHAnsi" w:cstheme="majorHAnsi"/>
          <w:sz w:val="20"/>
          <w:szCs w:val="20"/>
          <w:lang w:val="sr-Cyrl-RS"/>
        </w:rPr>
        <w:t xml:space="preserve"> и врст</w:t>
      </w:r>
      <w:r w:rsidRPr="006C7B09">
        <w:rPr>
          <w:rFonts w:asciiTheme="majorHAnsi" w:hAnsiTheme="majorHAnsi" w:cstheme="majorHAnsi"/>
          <w:sz w:val="20"/>
          <w:szCs w:val="20"/>
          <w:lang w:val="sr-Cyrl-RS"/>
        </w:rPr>
        <w:t>е</w:t>
      </w:r>
      <w:r w:rsidR="001E30C2" w:rsidRPr="006C7B09">
        <w:rPr>
          <w:rFonts w:asciiTheme="majorHAnsi" w:hAnsiTheme="majorHAnsi" w:cstheme="majorHAnsi"/>
          <w:sz w:val="20"/>
          <w:szCs w:val="20"/>
          <w:lang w:val="sr-Cyrl-RS"/>
        </w:rPr>
        <w:t xml:space="preserve"> временских серија</w:t>
      </w:r>
      <w:r w:rsidRPr="006C7B09">
        <w:rPr>
          <w:rFonts w:asciiTheme="majorHAnsi" w:hAnsiTheme="majorHAnsi" w:cstheme="majorHAnsi"/>
          <w:sz w:val="20"/>
          <w:szCs w:val="20"/>
          <w:lang w:val="sr-Cyrl-RS"/>
        </w:rPr>
        <w:t xml:space="preserve"> података,</w:t>
      </w:r>
      <w:r w:rsidR="001E30C2" w:rsidRPr="006C7B09">
        <w:rPr>
          <w:rFonts w:asciiTheme="majorHAnsi" w:hAnsiTheme="majorHAnsi" w:cstheme="majorHAnsi"/>
          <w:sz w:val="20"/>
          <w:szCs w:val="20"/>
          <w:lang w:val="sr-Cyrl-RS"/>
        </w:rPr>
        <w:t xml:space="preserve"> које су </w:t>
      </w:r>
      <w:r w:rsidRPr="006C7B09">
        <w:rPr>
          <w:rFonts w:asciiTheme="majorHAnsi" w:hAnsiTheme="majorHAnsi" w:cstheme="majorHAnsi"/>
          <w:sz w:val="20"/>
          <w:szCs w:val="20"/>
          <w:lang w:val="sr-Cyrl-RS"/>
        </w:rPr>
        <w:t xml:space="preserve">обухваћене </w:t>
      </w:r>
      <w:r w:rsidR="001E30C2" w:rsidRPr="006C7B09">
        <w:rPr>
          <w:rFonts w:asciiTheme="majorHAnsi" w:hAnsiTheme="majorHAnsi" w:cstheme="majorHAnsi"/>
          <w:sz w:val="20"/>
          <w:szCs w:val="20"/>
          <w:lang w:val="sr-Cyrl-RS"/>
        </w:rPr>
        <w:t>ревизиј</w:t>
      </w:r>
      <w:r w:rsidRPr="006C7B09">
        <w:rPr>
          <w:rFonts w:asciiTheme="majorHAnsi" w:hAnsiTheme="majorHAnsi" w:cstheme="majorHAnsi"/>
          <w:sz w:val="20"/>
          <w:szCs w:val="20"/>
          <w:lang w:val="sr-Cyrl-RS"/>
        </w:rPr>
        <w:t>ом</w:t>
      </w:r>
      <w:r w:rsidR="003E6EF1" w:rsidRPr="006C7B09">
        <w:rPr>
          <w:rFonts w:asciiTheme="majorHAnsi" w:hAnsiTheme="majorHAnsi" w:cstheme="majorHAnsi"/>
          <w:sz w:val="20"/>
          <w:szCs w:val="20"/>
          <w:lang w:val="sr-Cyrl-RS"/>
        </w:rPr>
        <w:t>.</w:t>
      </w:r>
    </w:p>
    <w:p w:rsidR="00113BB6" w:rsidRPr="006C7B09" w:rsidRDefault="00113BB6" w:rsidP="00113BB6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  <w:lang w:val="sr-Cyrl-RS"/>
        </w:rPr>
      </w:pPr>
    </w:p>
    <w:p w:rsidR="003E6EF1" w:rsidRDefault="00F35585" w:rsidP="00113BB6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  <w:lang w:val="sr-Cyrl-RS"/>
        </w:rPr>
      </w:pPr>
      <w:r w:rsidRPr="006C7B09">
        <w:rPr>
          <w:rFonts w:asciiTheme="majorHAnsi" w:hAnsiTheme="majorHAnsi" w:cstheme="majorHAnsi"/>
          <w:sz w:val="20"/>
          <w:szCs w:val="20"/>
          <w:lang w:val="sr-Cyrl-RS"/>
        </w:rPr>
        <w:t>У</w:t>
      </w:r>
      <w:r w:rsidR="007248F0" w:rsidRPr="006C7B09">
        <w:rPr>
          <w:rFonts w:asciiTheme="majorHAnsi" w:hAnsiTheme="majorHAnsi" w:cstheme="majorHAnsi"/>
          <w:sz w:val="20"/>
          <w:szCs w:val="20"/>
          <w:lang w:val="sr-Cyrl-RS"/>
        </w:rPr>
        <w:t xml:space="preserve">з </w:t>
      </w:r>
      <w:r w:rsidR="003E6EF1" w:rsidRPr="006C7B09">
        <w:rPr>
          <w:rFonts w:asciiTheme="majorHAnsi" w:hAnsiTheme="majorHAnsi" w:cstheme="majorHAnsi"/>
          <w:sz w:val="20"/>
          <w:szCs w:val="20"/>
          <w:lang w:val="sr-Cyrl-RS"/>
        </w:rPr>
        <w:t>објављен</w:t>
      </w:r>
      <w:r w:rsidR="007248F0" w:rsidRPr="006C7B09">
        <w:rPr>
          <w:rFonts w:asciiTheme="majorHAnsi" w:hAnsiTheme="majorHAnsi" w:cstheme="majorHAnsi"/>
          <w:sz w:val="20"/>
          <w:szCs w:val="20"/>
          <w:lang w:val="sr-Cyrl-RS"/>
        </w:rPr>
        <w:t>е</w:t>
      </w:r>
      <w:r w:rsidR="003E6EF1" w:rsidRPr="006C7B09">
        <w:rPr>
          <w:rFonts w:asciiTheme="majorHAnsi" w:hAnsiTheme="majorHAnsi" w:cstheme="majorHAnsi"/>
          <w:sz w:val="20"/>
          <w:szCs w:val="20"/>
          <w:lang w:val="sr-Cyrl-RS"/>
        </w:rPr>
        <w:t xml:space="preserve"> ревидиран</w:t>
      </w:r>
      <w:r w:rsidR="007248F0" w:rsidRPr="006C7B09">
        <w:rPr>
          <w:rFonts w:asciiTheme="majorHAnsi" w:hAnsiTheme="majorHAnsi" w:cstheme="majorHAnsi"/>
          <w:sz w:val="20"/>
          <w:szCs w:val="20"/>
          <w:lang w:val="sr-Cyrl-RS"/>
        </w:rPr>
        <w:t>е</w:t>
      </w:r>
      <w:r w:rsidR="003E6EF1" w:rsidRPr="006C7B09">
        <w:rPr>
          <w:rFonts w:asciiTheme="majorHAnsi" w:hAnsiTheme="majorHAnsi" w:cstheme="majorHAnsi"/>
          <w:sz w:val="20"/>
          <w:szCs w:val="20"/>
          <w:lang w:val="sr-Cyrl-RS"/>
        </w:rPr>
        <w:t xml:space="preserve"> пода</w:t>
      </w:r>
      <w:r w:rsidR="007248F0" w:rsidRPr="006C7B09">
        <w:rPr>
          <w:rFonts w:asciiTheme="majorHAnsi" w:hAnsiTheme="majorHAnsi" w:cstheme="majorHAnsi"/>
          <w:sz w:val="20"/>
          <w:szCs w:val="20"/>
          <w:lang w:val="sr-Cyrl-RS"/>
        </w:rPr>
        <w:t>тке треба објавити и пратећу</w:t>
      </w:r>
      <w:r w:rsidR="003E6EF1" w:rsidRPr="006C7B09">
        <w:rPr>
          <w:rFonts w:asciiTheme="majorHAnsi" w:hAnsiTheme="majorHAnsi" w:cstheme="majorHAnsi"/>
          <w:sz w:val="20"/>
          <w:szCs w:val="20"/>
          <w:lang w:val="sr-Cyrl-RS"/>
        </w:rPr>
        <w:t xml:space="preserve"> документациј</w:t>
      </w:r>
      <w:r w:rsidR="007248F0" w:rsidRPr="006C7B09">
        <w:rPr>
          <w:rFonts w:asciiTheme="majorHAnsi" w:hAnsiTheme="majorHAnsi" w:cstheme="majorHAnsi"/>
          <w:sz w:val="20"/>
          <w:szCs w:val="20"/>
          <w:lang w:val="sr-Cyrl-RS"/>
        </w:rPr>
        <w:t>у</w:t>
      </w:r>
      <w:r w:rsidR="003E6EF1" w:rsidRPr="006C7B09">
        <w:rPr>
          <w:rFonts w:asciiTheme="majorHAnsi" w:hAnsiTheme="majorHAnsi" w:cstheme="majorHAnsi"/>
          <w:sz w:val="20"/>
          <w:szCs w:val="20"/>
          <w:lang w:val="sr-Cyrl-RS"/>
        </w:rPr>
        <w:t xml:space="preserve">, </w:t>
      </w:r>
      <w:r w:rsidR="007248F0" w:rsidRPr="006C7B09">
        <w:rPr>
          <w:rFonts w:asciiTheme="majorHAnsi" w:hAnsiTheme="majorHAnsi" w:cstheme="majorHAnsi"/>
          <w:sz w:val="20"/>
          <w:szCs w:val="20"/>
          <w:lang w:val="sr-Cyrl-RS"/>
        </w:rPr>
        <w:t xml:space="preserve">која корисницима пружа могућност </w:t>
      </w:r>
      <w:r w:rsidR="003E6EF1" w:rsidRPr="006C7B09">
        <w:rPr>
          <w:rFonts w:asciiTheme="majorHAnsi" w:hAnsiTheme="majorHAnsi" w:cstheme="majorHAnsi"/>
          <w:sz w:val="20"/>
          <w:szCs w:val="20"/>
          <w:lang w:val="sr-Cyrl-RS"/>
        </w:rPr>
        <w:t xml:space="preserve">да оцене нове временске серије. Документација </w:t>
      </w:r>
      <w:r w:rsidR="00633AB8" w:rsidRPr="006C7B09">
        <w:rPr>
          <w:rFonts w:asciiTheme="majorHAnsi" w:hAnsiTheme="majorHAnsi" w:cstheme="majorHAnsi"/>
          <w:sz w:val="20"/>
          <w:szCs w:val="20"/>
          <w:lang w:val="sr-Cyrl-RS"/>
        </w:rPr>
        <w:t xml:space="preserve">треба да </w:t>
      </w:r>
      <w:r w:rsidR="003E6EF1" w:rsidRPr="006C7B09">
        <w:rPr>
          <w:rFonts w:asciiTheme="majorHAnsi" w:hAnsiTheme="majorHAnsi" w:cstheme="majorHAnsi"/>
          <w:sz w:val="20"/>
          <w:szCs w:val="20"/>
          <w:lang w:val="sr-Cyrl-RS"/>
        </w:rPr>
        <w:t>садржи разлоге за</w:t>
      </w:r>
      <w:r w:rsidR="00633AB8" w:rsidRPr="006C7B09">
        <w:rPr>
          <w:rFonts w:asciiTheme="majorHAnsi" w:hAnsiTheme="majorHAnsi" w:cstheme="majorHAnsi"/>
          <w:sz w:val="20"/>
          <w:szCs w:val="20"/>
          <w:lang w:val="sr-Cyrl-RS"/>
        </w:rPr>
        <w:t xml:space="preserve"> спровођење</w:t>
      </w:r>
      <w:r w:rsidR="003E6EF1" w:rsidRPr="006C7B09">
        <w:rPr>
          <w:rFonts w:asciiTheme="majorHAnsi" w:hAnsiTheme="majorHAnsi" w:cstheme="majorHAnsi"/>
          <w:sz w:val="20"/>
          <w:szCs w:val="20"/>
          <w:lang w:val="sr-Cyrl-RS"/>
        </w:rPr>
        <w:t xml:space="preserve"> ревизиј</w:t>
      </w:r>
      <w:r w:rsidR="00633AB8" w:rsidRPr="006C7B09">
        <w:rPr>
          <w:rFonts w:asciiTheme="majorHAnsi" w:hAnsiTheme="majorHAnsi" w:cstheme="majorHAnsi"/>
          <w:sz w:val="20"/>
          <w:szCs w:val="20"/>
          <w:lang w:val="sr-Cyrl-RS"/>
        </w:rPr>
        <w:t>а</w:t>
      </w:r>
      <w:r w:rsidR="003E6EF1" w:rsidRPr="006C7B09">
        <w:rPr>
          <w:rFonts w:asciiTheme="majorHAnsi" w:hAnsiTheme="majorHAnsi" w:cstheme="majorHAnsi"/>
          <w:sz w:val="20"/>
          <w:szCs w:val="20"/>
          <w:lang w:val="sr-Cyrl-RS"/>
        </w:rPr>
        <w:t xml:space="preserve">, </w:t>
      </w:r>
      <w:r w:rsidR="00633AB8" w:rsidRPr="006C7B09">
        <w:rPr>
          <w:rFonts w:asciiTheme="majorHAnsi" w:hAnsiTheme="majorHAnsi" w:cstheme="majorHAnsi"/>
          <w:sz w:val="20"/>
          <w:szCs w:val="20"/>
          <w:lang w:val="sr-Cyrl-RS"/>
        </w:rPr>
        <w:t>пр</w:t>
      </w:r>
      <w:r w:rsidR="003E6EF1" w:rsidRPr="006C7B09">
        <w:rPr>
          <w:rFonts w:asciiTheme="majorHAnsi" w:hAnsiTheme="majorHAnsi" w:cstheme="majorHAnsi"/>
          <w:sz w:val="20"/>
          <w:szCs w:val="20"/>
          <w:lang w:val="sr-Cyrl-RS"/>
        </w:rPr>
        <w:t>оцену утицаја ревизиј</w:t>
      </w:r>
      <w:r w:rsidR="00633AB8" w:rsidRPr="006C7B09">
        <w:rPr>
          <w:rFonts w:asciiTheme="majorHAnsi" w:hAnsiTheme="majorHAnsi" w:cstheme="majorHAnsi"/>
          <w:sz w:val="20"/>
          <w:szCs w:val="20"/>
          <w:lang w:val="sr-Cyrl-RS"/>
        </w:rPr>
        <w:t>а</w:t>
      </w:r>
      <w:r w:rsidR="003E6EF1" w:rsidRPr="006C7B09">
        <w:rPr>
          <w:rFonts w:asciiTheme="majorHAnsi" w:hAnsiTheme="majorHAnsi" w:cstheme="majorHAnsi"/>
          <w:sz w:val="20"/>
          <w:szCs w:val="20"/>
          <w:lang w:val="sr-Cyrl-RS"/>
        </w:rPr>
        <w:t xml:space="preserve"> на агрегате, </w:t>
      </w:r>
      <w:r w:rsidR="00633AB8" w:rsidRPr="006C7B09">
        <w:rPr>
          <w:rFonts w:asciiTheme="majorHAnsi" w:hAnsiTheme="majorHAnsi" w:cstheme="majorHAnsi"/>
          <w:sz w:val="20"/>
          <w:szCs w:val="20"/>
          <w:lang w:val="sr-Cyrl-RS"/>
        </w:rPr>
        <w:t xml:space="preserve">да </w:t>
      </w:r>
      <w:r w:rsidR="003E6EF1" w:rsidRPr="006C7B09">
        <w:rPr>
          <w:rFonts w:asciiTheme="majorHAnsi" w:hAnsiTheme="majorHAnsi" w:cstheme="majorHAnsi"/>
          <w:sz w:val="20"/>
          <w:szCs w:val="20"/>
          <w:lang w:val="sr-Cyrl-RS"/>
        </w:rPr>
        <w:t>прика</w:t>
      </w:r>
      <w:r w:rsidR="00633AB8" w:rsidRPr="006C7B09">
        <w:rPr>
          <w:rFonts w:asciiTheme="majorHAnsi" w:hAnsiTheme="majorHAnsi" w:cstheme="majorHAnsi"/>
          <w:sz w:val="20"/>
          <w:szCs w:val="20"/>
          <w:lang w:val="sr-Cyrl-RS"/>
        </w:rPr>
        <w:t xml:space="preserve">же </w:t>
      </w:r>
      <w:r w:rsidR="003E6EF1" w:rsidRPr="006C7B09">
        <w:rPr>
          <w:rFonts w:asciiTheme="majorHAnsi" w:hAnsiTheme="majorHAnsi" w:cstheme="majorHAnsi"/>
          <w:sz w:val="20"/>
          <w:szCs w:val="20"/>
          <w:lang w:val="sr-Cyrl-RS"/>
        </w:rPr>
        <w:t>упоредн</w:t>
      </w:r>
      <w:r w:rsidR="00633AB8" w:rsidRPr="006C7B09">
        <w:rPr>
          <w:rFonts w:asciiTheme="majorHAnsi" w:hAnsiTheme="majorHAnsi" w:cstheme="majorHAnsi"/>
          <w:sz w:val="20"/>
          <w:szCs w:val="20"/>
          <w:lang w:val="sr-Cyrl-RS"/>
        </w:rPr>
        <w:t>и</w:t>
      </w:r>
      <w:r w:rsidR="003E6EF1" w:rsidRPr="006C7B09">
        <w:rPr>
          <w:rFonts w:asciiTheme="majorHAnsi" w:hAnsiTheme="majorHAnsi" w:cstheme="majorHAnsi"/>
          <w:sz w:val="20"/>
          <w:szCs w:val="20"/>
          <w:lang w:val="sr-Cyrl-RS"/>
        </w:rPr>
        <w:t xml:space="preserve"> преглед старих и нових података и </w:t>
      </w:r>
      <w:r w:rsidR="00633AB8" w:rsidRPr="006C7B09">
        <w:rPr>
          <w:rFonts w:asciiTheme="majorHAnsi" w:hAnsiTheme="majorHAnsi" w:cstheme="majorHAnsi"/>
          <w:sz w:val="20"/>
          <w:szCs w:val="20"/>
          <w:lang w:val="sr-Cyrl-RS"/>
        </w:rPr>
        <w:t xml:space="preserve">да објасни </w:t>
      </w:r>
      <w:r w:rsidR="003E6EF1" w:rsidRPr="006C7B09">
        <w:rPr>
          <w:rFonts w:asciiTheme="majorHAnsi" w:hAnsiTheme="majorHAnsi" w:cstheme="majorHAnsi"/>
          <w:sz w:val="20"/>
          <w:szCs w:val="20"/>
          <w:lang w:val="sr-Cyrl-RS"/>
        </w:rPr>
        <w:t>дужину ревидираних временских серија</w:t>
      </w:r>
      <w:r w:rsidR="00633AB8" w:rsidRPr="006C7B09">
        <w:rPr>
          <w:rFonts w:asciiTheme="majorHAnsi" w:hAnsiTheme="majorHAnsi" w:cstheme="majorHAnsi"/>
          <w:sz w:val="20"/>
          <w:szCs w:val="20"/>
          <w:lang w:val="sr-Cyrl-RS"/>
        </w:rPr>
        <w:t xml:space="preserve"> </w:t>
      </w:r>
      <w:r w:rsidR="003E6EF1" w:rsidRPr="006C7B09">
        <w:rPr>
          <w:rFonts w:asciiTheme="majorHAnsi" w:hAnsiTheme="majorHAnsi" w:cstheme="majorHAnsi"/>
          <w:sz w:val="20"/>
          <w:szCs w:val="20"/>
          <w:lang w:val="sr-Cyrl-RS"/>
        </w:rPr>
        <w:t>и ниво детаљ</w:t>
      </w:r>
      <w:r w:rsidR="00633AB8" w:rsidRPr="006C7B09">
        <w:rPr>
          <w:rFonts w:asciiTheme="majorHAnsi" w:hAnsiTheme="majorHAnsi" w:cstheme="majorHAnsi"/>
          <w:sz w:val="20"/>
          <w:szCs w:val="20"/>
          <w:lang w:val="sr-Cyrl-RS"/>
        </w:rPr>
        <w:t xml:space="preserve">ности </w:t>
      </w:r>
      <w:r w:rsidR="003E6EF1" w:rsidRPr="006C7B09">
        <w:rPr>
          <w:rFonts w:asciiTheme="majorHAnsi" w:hAnsiTheme="majorHAnsi" w:cstheme="majorHAnsi"/>
          <w:sz w:val="20"/>
          <w:szCs w:val="20"/>
          <w:lang w:val="sr-Cyrl-RS"/>
        </w:rPr>
        <w:t>ревизиј</w:t>
      </w:r>
      <w:r w:rsidR="00633AB8" w:rsidRPr="006C7B09">
        <w:rPr>
          <w:rFonts w:asciiTheme="majorHAnsi" w:hAnsiTheme="majorHAnsi" w:cstheme="majorHAnsi"/>
          <w:sz w:val="20"/>
          <w:szCs w:val="20"/>
          <w:lang w:val="sr-Cyrl-RS"/>
        </w:rPr>
        <w:t>а</w:t>
      </w:r>
      <w:r w:rsidR="003E6EF1" w:rsidRPr="006C7B09">
        <w:rPr>
          <w:rFonts w:asciiTheme="majorHAnsi" w:hAnsiTheme="majorHAnsi" w:cstheme="majorHAnsi"/>
          <w:sz w:val="20"/>
          <w:szCs w:val="20"/>
          <w:lang w:val="sr-Cyrl-RS"/>
        </w:rPr>
        <w:t xml:space="preserve">. </w:t>
      </w:r>
      <w:r w:rsidR="00633AB8" w:rsidRPr="006C7B09">
        <w:rPr>
          <w:rFonts w:asciiTheme="majorHAnsi" w:hAnsiTheme="majorHAnsi" w:cstheme="majorHAnsi"/>
          <w:sz w:val="20"/>
          <w:szCs w:val="20"/>
          <w:lang w:val="sr-Cyrl-RS"/>
        </w:rPr>
        <w:t xml:space="preserve">Осим </w:t>
      </w:r>
      <w:r w:rsidR="003E6EF1" w:rsidRPr="006C7B09">
        <w:rPr>
          <w:rFonts w:asciiTheme="majorHAnsi" w:hAnsiTheme="majorHAnsi" w:cstheme="majorHAnsi"/>
          <w:sz w:val="20"/>
          <w:szCs w:val="20"/>
          <w:lang w:val="sr-Cyrl-RS"/>
        </w:rPr>
        <w:t xml:space="preserve">тога, пре </w:t>
      </w:r>
      <w:r w:rsidR="00633AB8" w:rsidRPr="006C7B09">
        <w:rPr>
          <w:rFonts w:asciiTheme="majorHAnsi" w:hAnsiTheme="majorHAnsi" w:cstheme="majorHAnsi"/>
          <w:sz w:val="20"/>
          <w:szCs w:val="20"/>
          <w:lang w:val="sr-Cyrl-RS"/>
        </w:rPr>
        <w:t xml:space="preserve">спровођења </w:t>
      </w:r>
      <w:r w:rsidR="003E6EF1" w:rsidRPr="006C7B09">
        <w:rPr>
          <w:rFonts w:asciiTheme="majorHAnsi" w:hAnsiTheme="majorHAnsi" w:cstheme="majorHAnsi"/>
          <w:sz w:val="20"/>
          <w:szCs w:val="20"/>
          <w:lang w:val="sr-Cyrl-RS"/>
        </w:rPr>
        <w:t>велике ревизије</w:t>
      </w:r>
      <w:r w:rsidR="00633AB8" w:rsidRPr="006C7B09">
        <w:rPr>
          <w:rFonts w:asciiTheme="majorHAnsi" w:hAnsiTheme="majorHAnsi" w:cstheme="majorHAnsi"/>
          <w:sz w:val="20"/>
          <w:szCs w:val="20"/>
          <w:lang w:val="sr-Cyrl-RS"/>
        </w:rPr>
        <w:t xml:space="preserve"> потребно је из</w:t>
      </w:r>
      <w:r w:rsidR="003E6EF1" w:rsidRPr="006C7B09">
        <w:rPr>
          <w:rFonts w:asciiTheme="majorHAnsi" w:hAnsiTheme="majorHAnsi" w:cstheme="majorHAnsi"/>
          <w:sz w:val="20"/>
          <w:szCs w:val="20"/>
          <w:lang w:val="sr-Cyrl-RS"/>
        </w:rPr>
        <w:t>врши</w:t>
      </w:r>
      <w:r w:rsidR="00633AB8" w:rsidRPr="006C7B09">
        <w:rPr>
          <w:rFonts w:asciiTheme="majorHAnsi" w:hAnsiTheme="majorHAnsi" w:cstheme="majorHAnsi"/>
          <w:sz w:val="20"/>
          <w:szCs w:val="20"/>
          <w:lang w:val="sr-Cyrl-RS"/>
        </w:rPr>
        <w:t xml:space="preserve">ти пробне </w:t>
      </w:r>
      <w:r w:rsidR="003E6EF1" w:rsidRPr="006C7B09">
        <w:rPr>
          <w:rFonts w:asciiTheme="majorHAnsi" w:hAnsiTheme="majorHAnsi" w:cstheme="majorHAnsi"/>
          <w:sz w:val="20"/>
          <w:szCs w:val="20"/>
          <w:lang w:val="sr-Cyrl-RS"/>
        </w:rPr>
        <w:t>о</w:t>
      </w:r>
      <w:r w:rsidR="00633AB8" w:rsidRPr="006C7B09">
        <w:rPr>
          <w:rFonts w:asciiTheme="majorHAnsi" w:hAnsiTheme="majorHAnsi" w:cstheme="majorHAnsi"/>
          <w:sz w:val="20"/>
          <w:szCs w:val="20"/>
          <w:lang w:val="sr-Cyrl-RS"/>
        </w:rPr>
        <w:t>б</w:t>
      </w:r>
      <w:r w:rsidR="003E6EF1" w:rsidRPr="006C7B09">
        <w:rPr>
          <w:rFonts w:asciiTheme="majorHAnsi" w:hAnsiTheme="majorHAnsi" w:cstheme="majorHAnsi"/>
          <w:sz w:val="20"/>
          <w:szCs w:val="20"/>
          <w:lang w:val="sr-Cyrl-RS"/>
        </w:rPr>
        <w:t>рачун</w:t>
      </w:r>
      <w:r w:rsidR="00633AB8" w:rsidRPr="006C7B09">
        <w:rPr>
          <w:rFonts w:asciiTheme="majorHAnsi" w:hAnsiTheme="majorHAnsi" w:cstheme="majorHAnsi"/>
          <w:sz w:val="20"/>
          <w:szCs w:val="20"/>
          <w:lang w:val="sr-Cyrl-RS"/>
        </w:rPr>
        <w:t>е</w:t>
      </w:r>
      <w:r w:rsidR="003E6EF1" w:rsidRPr="006C7B09">
        <w:rPr>
          <w:rFonts w:asciiTheme="majorHAnsi" w:hAnsiTheme="majorHAnsi" w:cstheme="majorHAnsi"/>
          <w:sz w:val="20"/>
          <w:szCs w:val="20"/>
          <w:lang w:val="sr-Cyrl-RS"/>
        </w:rPr>
        <w:t xml:space="preserve"> (бар за најважније </w:t>
      </w:r>
      <w:r w:rsidR="00633AB8" w:rsidRPr="006C7B09">
        <w:rPr>
          <w:rFonts w:asciiTheme="majorHAnsi" w:hAnsiTheme="majorHAnsi" w:cstheme="majorHAnsi"/>
          <w:sz w:val="20"/>
          <w:szCs w:val="20"/>
          <w:lang w:val="sr-Cyrl-RS"/>
        </w:rPr>
        <w:t xml:space="preserve">економске </w:t>
      </w:r>
      <w:r w:rsidR="003E6EF1" w:rsidRPr="006C7B09">
        <w:rPr>
          <w:rFonts w:asciiTheme="majorHAnsi" w:hAnsiTheme="majorHAnsi" w:cstheme="majorHAnsi"/>
          <w:sz w:val="20"/>
          <w:szCs w:val="20"/>
          <w:lang w:val="sr-Cyrl-RS"/>
        </w:rPr>
        <w:t xml:space="preserve">индикаторе), а након </w:t>
      </w:r>
      <w:r w:rsidR="00633AB8" w:rsidRPr="006C7B09">
        <w:rPr>
          <w:rFonts w:asciiTheme="majorHAnsi" w:hAnsiTheme="majorHAnsi" w:cstheme="majorHAnsi"/>
          <w:sz w:val="20"/>
          <w:szCs w:val="20"/>
          <w:lang w:val="sr-Cyrl-RS"/>
        </w:rPr>
        <w:t xml:space="preserve">спровођења </w:t>
      </w:r>
      <w:r w:rsidR="003E6EF1" w:rsidRPr="006C7B09">
        <w:rPr>
          <w:rFonts w:asciiTheme="majorHAnsi" w:hAnsiTheme="majorHAnsi" w:cstheme="majorHAnsi"/>
          <w:sz w:val="20"/>
          <w:szCs w:val="20"/>
          <w:lang w:val="sr-Cyrl-RS"/>
        </w:rPr>
        <w:t>ревизије објав</w:t>
      </w:r>
      <w:r w:rsidR="00633AB8" w:rsidRPr="006C7B09">
        <w:rPr>
          <w:rFonts w:asciiTheme="majorHAnsi" w:hAnsiTheme="majorHAnsi" w:cstheme="majorHAnsi"/>
          <w:sz w:val="20"/>
          <w:szCs w:val="20"/>
          <w:lang w:val="sr-Cyrl-RS"/>
        </w:rPr>
        <w:t xml:space="preserve">ити </w:t>
      </w:r>
      <w:r w:rsidR="003E6EF1" w:rsidRPr="006C7B09">
        <w:rPr>
          <w:rFonts w:asciiTheme="majorHAnsi" w:hAnsiTheme="majorHAnsi" w:cstheme="majorHAnsi"/>
          <w:sz w:val="20"/>
          <w:szCs w:val="20"/>
          <w:lang w:val="sr-Cyrl-RS"/>
        </w:rPr>
        <w:t>резултат анализе.</w:t>
      </w:r>
    </w:p>
    <w:p w:rsidR="00113BB6" w:rsidRPr="006C7B09" w:rsidRDefault="00113BB6" w:rsidP="00113BB6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  <w:lang w:val="sr-Cyrl-RS"/>
        </w:rPr>
      </w:pPr>
    </w:p>
    <w:p w:rsidR="00A747A9" w:rsidRDefault="00633AB8" w:rsidP="00113BB6">
      <w:pPr>
        <w:spacing w:line="276" w:lineRule="auto"/>
        <w:jc w:val="both"/>
        <w:rPr>
          <w:rFonts w:asciiTheme="majorHAnsi" w:hAnsiTheme="majorHAnsi" w:cstheme="majorHAnsi"/>
          <w:sz w:val="20"/>
          <w:szCs w:val="20"/>
          <w:lang w:val="sr-Cyrl-RS"/>
        </w:rPr>
      </w:pPr>
      <w:r w:rsidRPr="006C7B09">
        <w:rPr>
          <w:rFonts w:asciiTheme="majorHAnsi" w:hAnsiTheme="majorHAnsi" w:cstheme="majorHAnsi"/>
          <w:sz w:val="20"/>
          <w:szCs w:val="20"/>
          <w:lang w:val="sr-Cyrl-RS"/>
        </w:rPr>
        <w:t>Неопходно је осигурати максималну доследност у примени и координацију између ревизија</w:t>
      </w:r>
      <w:r w:rsidR="005A7C69" w:rsidRPr="006C7B09">
        <w:rPr>
          <w:rFonts w:asciiTheme="majorHAnsi" w:hAnsiTheme="majorHAnsi" w:cstheme="majorHAnsi"/>
          <w:sz w:val="20"/>
          <w:szCs w:val="20"/>
          <w:lang w:val="sr-Cyrl-RS"/>
        </w:rPr>
        <w:t xml:space="preserve"> различитих области.</w:t>
      </w:r>
    </w:p>
    <w:p w:rsidR="002D6AAC" w:rsidRDefault="002D6AAC" w:rsidP="002E2F6A">
      <w:pPr>
        <w:jc w:val="both"/>
        <w:rPr>
          <w:rFonts w:asciiTheme="majorHAnsi" w:hAnsiTheme="majorHAnsi" w:cstheme="majorHAnsi"/>
          <w:sz w:val="20"/>
          <w:szCs w:val="20"/>
          <w:lang w:val="sr-Cyrl-RS"/>
        </w:rPr>
      </w:pPr>
    </w:p>
    <w:p w:rsidR="002D6AAC" w:rsidRPr="006C7B09" w:rsidRDefault="002D6AAC" w:rsidP="002E2F6A">
      <w:pPr>
        <w:jc w:val="both"/>
        <w:rPr>
          <w:rFonts w:asciiTheme="majorHAnsi" w:hAnsiTheme="majorHAnsi" w:cstheme="majorHAnsi"/>
          <w:sz w:val="20"/>
          <w:szCs w:val="20"/>
          <w:lang w:val="sr-Cyrl-RS"/>
        </w:rPr>
      </w:pPr>
    </w:p>
    <w:p w:rsidR="00A747A9" w:rsidRPr="006C7B09" w:rsidRDefault="003E6EF1" w:rsidP="00A747A9">
      <w:pPr>
        <w:pStyle w:val="Heading1"/>
        <w:rPr>
          <w:rFonts w:cstheme="majorHAnsi"/>
        </w:rPr>
      </w:pPr>
      <w:bookmarkStart w:id="5" w:name="_Toc52283277"/>
      <w:r w:rsidRPr="006C7B09">
        <w:rPr>
          <w:rFonts w:cstheme="majorHAnsi"/>
          <w:lang w:val="sr-Cyrl-RS"/>
        </w:rPr>
        <w:lastRenderedPageBreak/>
        <w:t>Ванредне ревизије</w:t>
      </w:r>
      <w:bookmarkEnd w:id="5"/>
    </w:p>
    <w:p w:rsidR="003E6EF1" w:rsidRDefault="0042776B" w:rsidP="00113BB6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  <w:lang w:val="sr-Cyrl-RS"/>
        </w:rPr>
      </w:pPr>
      <w:r w:rsidRPr="006C7B09">
        <w:rPr>
          <w:rFonts w:asciiTheme="majorHAnsi" w:hAnsiTheme="majorHAnsi" w:cstheme="majorHAnsi"/>
          <w:sz w:val="20"/>
          <w:szCs w:val="20"/>
          <w:lang w:val="sr-Cyrl-RS"/>
        </w:rPr>
        <w:t>Ван</w:t>
      </w:r>
      <w:r w:rsidR="003E6EF1" w:rsidRPr="006C7B09">
        <w:rPr>
          <w:rFonts w:asciiTheme="majorHAnsi" w:hAnsiTheme="majorHAnsi" w:cstheme="majorHAnsi"/>
          <w:sz w:val="20"/>
          <w:szCs w:val="20"/>
          <w:lang w:val="sr-Cyrl-RS"/>
        </w:rPr>
        <w:t>редне ревизије су неп</w:t>
      </w:r>
      <w:r w:rsidRPr="006C7B09">
        <w:rPr>
          <w:rFonts w:asciiTheme="majorHAnsi" w:hAnsiTheme="majorHAnsi" w:cstheme="majorHAnsi"/>
          <w:sz w:val="20"/>
          <w:szCs w:val="20"/>
          <w:lang w:val="sr-Cyrl-RS"/>
        </w:rPr>
        <w:t xml:space="preserve">ланиране </w:t>
      </w:r>
      <w:r w:rsidR="003E6EF1" w:rsidRPr="006C7B09">
        <w:rPr>
          <w:rFonts w:asciiTheme="majorHAnsi" w:hAnsiTheme="majorHAnsi" w:cstheme="majorHAnsi"/>
          <w:sz w:val="20"/>
          <w:szCs w:val="20"/>
          <w:lang w:val="sr-Cyrl-RS"/>
        </w:rPr>
        <w:t xml:space="preserve">измене објављених статистичких података, које су последица неочекиваних догађаја. Спроводе се </w:t>
      </w:r>
      <w:r w:rsidRPr="006C7B09">
        <w:rPr>
          <w:rFonts w:asciiTheme="majorHAnsi" w:hAnsiTheme="majorHAnsi" w:cstheme="majorHAnsi"/>
          <w:sz w:val="20"/>
          <w:szCs w:val="20"/>
          <w:lang w:val="sr-Cyrl-RS"/>
        </w:rPr>
        <w:t xml:space="preserve">када се </w:t>
      </w:r>
      <w:r w:rsidR="003E6EF1" w:rsidRPr="006C7B09">
        <w:rPr>
          <w:rFonts w:asciiTheme="majorHAnsi" w:hAnsiTheme="majorHAnsi" w:cstheme="majorHAnsi"/>
          <w:sz w:val="20"/>
          <w:szCs w:val="20"/>
          <w:lang w:val="sr-Cyrl-RS"/>
        </w:rPr>
        <w:t>откри</w:t>
      </w:r>
      <w:r w:rsidRPr="006C7B09">
        <w:rPr>
          <w:rFonts w:asciiTheme="majorHAnsi" w:hAnsiTheme="majorHAnsi" w:cstheme="majorHAnsi"/>
          <w:sz w:val="20"/>
          <w:szCs w:val="20"/>
          <w:lang w:val="sr-Cyrl-RS"/>
        </w:rPr>
        <w:t xml:space="preserve">је да у објављеним статистичким подацима/информацијама постоје лаке/тешке </w:t>
      </w:r>
      <w:r w:rsidR="003E6EF1" w:rsidRPr="006C7B09">
        <w:rPr>
          <w:rFonts w:asciiTheme="majorHAnsi" w:hAnsiTheme="majorHAnsi" w:cstheme="majorHAnsi"/>
          <w:sz w:val="20"/>
          <w:szCs w:val="20"/>
          <w:lang w:val="sr-Cyrl-RS"/>
        </w:rPr>
        <w:t>грешк</w:t>
      </w:r>
      <w:r w:rsidRPr="006C7B09">
        <w:rPr>
          <w:rFonts w:asciiTheme="majorHAnsi" w:hAnsiTheme="majorHAnsi" w:cstheme="majorHAnsi"/>
          <w:sz w:val="20"/>
          <w:szCs w:val="20"/>
          <w:lang w:val="sr-Cyrl-RS"/>
        </w:rPr>
        <w:t>е</w:t>
      </w:r>
      <w:r w:rsidR="003E6EF1" w:rsidRPr="006C7B09">
        <w:rPr>
          <w:rFonts w:asciiTheme="majorHAnsi" w:hAnsiTheme="majorHAnsi" w:cstheme="majorHAnsi"/>
          <w:sz w:val="20"/>
          <w:szCs w:val="20"/>
          <w:lang w:val="sr-Cyrl-RS"/>
        </w:rPr>
        <w:t>.</w:t>
      </w:r>
    </w:p>
    <w:p w:rsidR="00113BB6" w:rsidRDefault="00113BB6" w:rsidP="00113BB6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  <w:lang w:val="sr-Cyrl-RS"/>
        </w:rPr>
      </w:pPr>
    </w:p>
    <w:p w:rsidR="003D69C2" w:rsidRDefault="003D69C2" w:rsidP="00113BB6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  <w:lang w:val="sr-Cyrl-RS"/>
        </w:rPr>
      </w:pPr>
      <w:r w:rsidRPr="003D69C2">
        <w:rPr>
          <w:rFonts w:asciiTheme="majorHAnsi" w:hAnsiTheme="majorHAnsi" w:cstheme="majorHAnsi"/>
          <w:sz w:val="20"/>
          <w:szCs w:val="20"/>
          <w:lang w:val="sr-Cyrl-RS"/>
        </w:rPr>
        <w:t>Честе ванредне ревизије могу да збуне кориснике и умање њихово поверење у квалитет</w:t>
      </w:r>
      <w:r>
        <w:rPr>
          <w:rFonts w:asciiTheme="majorHAnsi" w:hAnsiTheme="majorHAnsi" w:cstheme="majorHAnsi"/>
          <w:sz w:val="20"/>
          <w:szCs w:val="20"/>
          <w:lang w:val="sr-Cyrl-RS"/>
        </w:rPr>
        <w:t xml:space="preserve"> </w:t>
      </w:r>
      <w:r w:rsidRPr="003D69C2">
        <w:rPr>
          <w:rFonts w:asciiTheme="majorHAnsi" w:hAnsiTheme="majorHAnsi" w:cstheme="majorHAnsi"/>
          <w:sz w:val="20"/>
          <w:szCs w:val="20"/>
          <w:lang w:val="sr-Cyrl-RS"/>
        </w:rPr>
        <w:t>статистичких података. Због тога је веома важно избећи их кад год је то могуће и</w:t>
      </w:r>
      <w:r>
        <w:rPr>
          <w:rFonts w:asciiTheme="majorHAnsi" w:hAnsiTheme="majorHAnsi" w:cstheme="majorHAnsi"/>
          <w:sz w:val="20"/>
          <w:szCs w:val="20"/>
          <w:lang w:val="sr-Cyrl-RS"/>
        </w:rPr>
        <w:t xml:space="preserve"> </w:t>
      </w:r>
      <w:r w:rsidRPr="003D69C2">
        <w:rPr>
          <w:rFonts w:asciiTheme="majorHAnsi" w:hAnsiTheme="majorHAnsi" w:cstheme="majorHAnsi"/>
          <w:sz w:val="20"/>
          <w:szCs w:val="20"/>
          <w:lang w:val="sr-Cyrl-RS"/>
        </w:rPr>
        <w:t>ограничити их само на ситуације када се открију тешке грешке.</w:t>
      </w:r>
    </w:p>
    <w:p w:rsidR="00113BB6" w:rsidRDefault="00113BB6" w:rsidP="00113BB6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  <w:lang w:val="sr-Cyrl-RS"/>
        </w:rPr>
      </w:pPr>
    </w:p>
    <w:p w:rsidR="0066728A" w:rsidRDefault="0066728A" w:rsidP="00113BB6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  <w:lang w:val="sr-Cyrl-RS"/>
        </w:rPr>
      </w:pPr>
      <w:r w:rsidRPr="0066728A">
        <w:rPr>
          <w:rFonts w:asciiTheme="majorHAnsi" w:hAnsiTheme="majorHAnsi" w:cstheme="majorHAnsi"/>
          <w:sz w:val="20"/>
          <w:szCs w:val="20"/>
          <w:lang w:val="sr-Cyrl-RS"/>
        </w:rPr>
        <w:t>Треба напоменути да, у зависности од потреба корисника, лака грешка за једног</w:t>
      </w:r>
      <w:r>
        <w:rPr>
          <w:rFonts w:asciiTheme="majorHAnsi" w:hAnsiTheme="majorHAnsi" w:cstheme="majorHAnsi"/>
          <w:sz w:val="20"/>
          <w:szCs w:val="20"/>
          <w:lang w:val="sr-Cyrl-RS"/>
        </w:rPr>
        <w:t xml:space="preserve"> </w:t>
      </w:r>
      <w:r w:rsidRPr="0066728A">
        <w:rPr>
          <w:rFonts w:asciiTheme="majorHAnsi" w:hAnsiTheme="majorHAnsi" w:cstheme="majorHAnsi"/>
          <w:sz w:val="20"/>
          <w:szCs w:val="20"/>
          <w:lang w:val="sr-Cyrl-RS"/>
        </w:rPr>
        <w:t>корисника може да буде тешка за другог и о томе треба водити рачуна приликом</w:t>
      </w:r>
      <w:r>
        <w:rPr>
          <w:rFonts w:asciiTheme="majorHAnsi" w:hAnsiTheme="majorHAnsi" w:cstheme="majorHAnsi"/>
          <w:sz w:val="20"/>
          <w:szCs w:val="20"/>
          <w:lang w:val="sr-Cyrl-RS"/>
        </w:rPr>
        <w:t xml:space="preserve"> </w:t>
      </w:r>
      <w:r w:rsidRPr="0066728A">
        <w:rPr>
          <w:rFonts w:asciiTheme="majorHAnsi" w:hAnsiTheme="majorHAnsi" w:cstheme="majorHAnsi"/>
          <w:sz w:val="20"/>
          <w:szCs w:val="20"/>
          <w:lang w:val="sr-Cyrl-RS"/>
        </w:rPr>
        <w:t>доношења одлуке о спровођењу ванредне ревизије и о којој врсти грешке се ради.</w:t>
      </w:r>
    </w:p>
    <w:p w:rsidR="00113BB6" w:rsidRDefault="00113BB6" w:rsidP="00113BB6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  <w:lang w:val="sr-Cyrl-RS"/>
        </w:rPr>
      </w:pPr>
    </w:p>
    <w:p w:rsidR="009D4E4A" w:rsidRPr="009D4E4A" w:rsidRDefault="009D4E4A" w:rsidP="00113BB6">
      <w:pPr>
        <w:jc w:val="both"/>
        <w:rPr>
          <w:rFonts w:asciiTheme="majorHAnsi" w:hAnsiTheme="majorHAnsi" w:cstheme="majorHAnsi"/>
          <w:sz w:val="20"/>
          <w:szCs w:val="20"/>
          <w:lang w:val="sr-Cyrl-RS"/>
        </w:rPr>
      </w:pPr>
      <w:r w:rsidRPr="009D4E4A">
        <w:rPr>
          <w:rFonts w:asciiTheme="majorHAnsi" w:hAnsiTheme="majorHAnsi" w:cstheme="majorHAnsi"/>
          <w:sz w:val="20"/>
          <w:szCs w:val="20"/>
          <w:lang w:val="sr-Cyrl-RS"/>
        </w:rPr>
        <w:t>Основни принципи који важе за ванредне ревизије су следећи:</w:t>
      </w:r>
    </w:p>
    <w:p w:rsidR="009D4E4A" w:rsidRPr="009D4E4A" w:rsidRDefault="009D4E4A" w:rsidP="009D4E4A">
      <w:pPr>
        <w:pStyle w:val="ListParagraph"/>
        <w:numPr>
          <w:ilvl w:val="0"/>
          <w:numId w:val="31"/>
        </w:numPr>
        <w:jc w:val="both"/>
        <w:rPr>
          <w:rFonts w:asciiTheme="majorHAnsi" w:hAnsiTheme="majorHAnsi" w:cstheme="majorHAnsi"/>
          <w:sz w:val="20"/>
          <w:szCs w:val="20"/>
          <w:lang w:val="sr-Cyrl-RS"/>
        </w:rPr>
      </w:pPr>
      <w:r w:rsidRPr="009D4E4A">
        <w:rPr>
          <w:rFonts w:asciiTheme="majorHAnsi" w:hAnsiTheme="majorHAnsi" w:cstheme="majorHAnsi"/>
          <w:sz w:val="20"/>
          <w:szCs w:val="20"/>
          <w:lang w:val="sr-Cyrl-RS"/>
        </w:rPr>
        <w:t>уколико је откривена лака грешка, исправка се спроводи у најкраћем могућем</w:t>
      </w:r>
    </w:p>
    <w:p w:rsidR="009D4E4A" w:rsidRPr="009D4E4A" w:rsidRDefault="009D4E4A" w:rsidP="009D4E4A">
      <w:pPr>
        <w:pStyle w:val="ListParagraph"/>
        <w:ind w:left="1080"/>
        <w:jc w:val="both"/>
        <w:rPr>
          <w:rFonts w:asciiTheme="majorHAnsi" w:hAnsiTheme="majorHAnsi" w:cstheme="majorHAnsi"/>
          <w:sz w:val="20"/>
          <w:szCs w:val="20"/>
          <w:lang w:val="sr-Cyrl-RS"/>
        </w:rPr>
      </w:pPr>
      <w:r w:rsidRPr="009D4E4A">
        <w:rPr>
          <w:rFonts w:asciiTheme="majorHAnsi" w:hAnsiTheme="majorHAnsi" w:cstheme="majorHAnsi"/>
          <w:sz w:val="20"/>
          <w:szCs w:val="20"/>
          <w:lang w:val="sr-Cyrl-RS"/>
        </w:rPr>
        <w:t>року у свим облицима дисеминације без посебног информисања корисника;</w:t>
      </w:r>
    </w:p>
    <w:p w:rsidR="009D4E4A" w:rsidRPr="009D4E4A" w:rsidRDefault="009D4E4A" w:rsidP="009D4E4A">
      <w:pPr>
        <w:pStyle w:val="ListParagraph"/>
        <w:numPr>
          <w:ilvl w:val="0"/>
          <w:numId w:val="31"/>
        </w:numPr>
        <w:jc w:val="both"/>
        <w:rPr>
          <w:rFonts w:asciiTheme="majorHAnsi" w:hAnsiTheme="majorHAnsi" w:cstheme="majorHAnsi"/>
          <w:sz w:val="20"/>
          <w:szCs w:val="20"/>
          <w:lang w:val="sr-Cyrl-RS"/>
        </w:rPr>
      </w:pPr>
      <w:r w:rsidRPr="009D4E4A">
        <w:rPr>
          <w:rFonts w:asciiTheme="majorHAnsi" w:hAnsiTheme="majorHAnsi" w:cstheme="majorHAnsi"/>
          <w:sz w:val="20"/>
          <w:szCs w:val="20"/>
          <w:lang w:val="sr-Cyrl-RS"/>
        </w:rPr>
        <w:t>тешке грешке које су откривене непосредно након објављивања података</w:t>
      </w:r>
    </w:p>
    <w:p w:rsidR="009D4E4A" w:rsidRPr="009D4E4A" w:rsidRDefault="009D4E4A" w:rsidP="009D4E4A">
      <w:pPr>
        <w:pStyle w:val="ListParagraph"/>
        <w:ind w:left="1080"/>
        <w:jc w:val="both"/>
        <w:rPr>
          <w:rFonts w:asciiTheme="majorHAnsi" w:hAnsiTheme="majorHAnsi" w:cstheme="majorHAnsi"/>
          <w:sz w:val="20"/>
          <w:szCs w:val="20"/>
          <w:lang w:val="sr-Cyrl-RS"/>
        </w:rPr>
      </w:pPr>
      <w:r w:rsidRPr="009D4E4A">
        <w:rPr>
          <w:rFonts w:asciiTheme="majorHAnsi" w:hAnsiTheme="majorHAnsi" w:cstheme="majorHAnsi"/>
          <w:sz w:val="20"/>
          <w:szCs w:val="20"/>
          <w:lang w:val="sr-Cyrl-RS"/>
        </w:rPr>
        <w:t>требало би кориговати што је пре могуће;</w:t>
      </w:r>
    </w:p>
    <w:p w:rsidR="009D4E4A" w:rsidRPr="009D4E4A" w:rsidRDefault="009D4E4A" w:rsidP="009D4E4A">
      <w:pPr>
        <w:pStyle w:val="ListParagraph"/>
        <w:numPr>
          <w:ilvl w:val="0"/>
          <w:numId w:val="31"/>
        </w:numPr>
        <w:jc w:val="both"/>
        <w:rPr>
          <w:rFonts w:asciiTheme="majorHAnsi" w:hAnsiTheme="majorHAnsi" w:cstheme="majorHAnsi"/>
          <w:sz w:val="20"/>
          <w:szCs w:val="20"/>
          <w:lang w:val="sr-Cyrl-RS"/>
        </w:rPr>
      </w:pPr>
      <w:r w:rsidRPr="009D4E4A">
        <w:rPr>
          <w:rFonts w:asciiTheme="majorHAnsi" w:hAnsiTheme="majorHAnsi" w:cstheme="majorHAnsi"/>
          <w:sz w:val="20"/>
          <w:szCs w:val="20"/>
          <w:lang w:val="sr-Cyrl-RS"/>
        </w:rPr>
        <w:t>кориснике треба информисати о предстојећој ванредној ревизији користећи иста</w:t>
      </w:r>
    </w:p>
    <w:p w:rsidR="009D4E4A" w:rsidRPr="009D4E4A" w:rsidRDefault="009D4E4A" w:rsidP="009D4E4A">
      <w:pPr>
        <w:pStyle w:val="ListParagraph"/>
        <w:ind w:left="1080"/>
        <w:jc w:val="both"/>
        <w:rPr>
          <w:rFonts w:asciiTheme="majorHAnsi" w:hAnsiTheme="majorHAnsi" w:cstheme="majorHAnsi"/>
          <w:sz w:val="20"/>
          <w:szCs w:val="20"/>
          <w:lang w:val="sr-Cyrl-RS"/>
        </w:rPr>
      </w:pPr>
      <w:r w:rsidRPr="009D4E4A">
        <w:rPr>
          <w:rFonts w:asciiTheme="majorHAnsi" w:hAnsiTheme="majorHAnsi" w:cstheme="majorHAnsi"/>
          <w:sz w:val="20"/>
          <w:szCs w:val="20"/>
          <w:lang w:val="sr-Cyrl-RS"/>
        </w:rPr>
        <w:t>средства информисања као и за публиковање;</w:t>
      </w:r>
    </w:p>
    <w:p w:rsidR="0066728A" w:rsidRDefault="009D4E4A" w:rsidP="009D4E4A">
      <w:pPr>
        <w:pStyle w:val="ListParagraph"/>
        <w:numPr>
          <w:ilvl w:val="0"/>
          <w:numId w:val="31"/>
        </w:numPr>
        <w:jc w:val="both"/>
        <w:rPr>
          <w:rFonts w:asciiTheme="majorHAnsi" w:hAnsiTheme="majorHAnsi" w:cstheme="majorHAnsi"/>
          <w:sz w:val="20"/>
          <w:szCs w:val="20"/>
          <w:lang w:val="sr-Cyrl-RS"/>
        </w:rPr>
      </w:pPr>
      <w:r w:rsidRPr="009D4E4A">
        <w:rPr>
          <w:rFonts w:asciiTheme="majorHAnsi" w:hAnsiTheme="majorHAnsi" w:cstheme="majorHAnsi"/>
          <w:sz w:val="20"/>
          <w:szCs w:val="20"/>
          <w:lang w:val="sr-Cyrl-RS"/>
        </w:rPr>
        <w:t>у календар ревизија треба додати датум спровођења ванредне ревизије.</w:t>
      </w:r>
    </w:p>
    <w:p w:rsidR="00016E97" w:rsidRDefault="00016E97" w:rsidP="00113BB6">
      <w:pPr>
        <w:pStyle w:val="ListParagraph"/>
        <w:spacing w:after="0" w:line="276" w:lineRule="auto"/>
        <w:ind w:left="1080"/>
        <w:jc w:val="both"/>
        <w:rPr>
          <w:rFonts w:asciiTheme="majorHAnsi" w:hAnsiTheme="majorHAnsi" w:cstheme="majorHAnsi"/>
          <w:sz w:val="20"/>
          <w:szCs w:val="20"/>
          <w:lang w:val="sr-Cyrl-RS"/>
        </w:rPr>
      </w:pPr>
    </w:p>
    <w:p w:rsidR="006779CF" w:rsidRPr="006779CF" w:rsidRDefault="006779CF" w:rsidP="006779CF">
      <w:pPr>
        <w:jc w:val="both"/>
        <w:rPr>
          <w:rFonts w:asciiTheme="majorHAnsi" w:hAnsiTheme="majorHAnsi" w:cstheme="majorHAnsi"/>
          <w:sz w:val="20"/>
          <w:szCs w:val="20"/>
          <w:lang w:val="sr-Cyrl-RS"/>
        </w:rPr>
      </w:pPr>
      <w:r w:rsidRPr="006779CF">
        <w:rPr>
          <w:rFonts w:asciiTheme="majorHAnsi" w:hAnsiTheme="majorHAnsi" w:cstheme="majorHAnsi"/>
          <w:sz w:val="20"/>
          <w:szCs w:val="20"/>
          <w:lang w:val="sr-Cyrl-RS"/>
        </w:rPr>
        <w:t>У Заводу постоји дефинисана Процедура за исправљање грешака у објављеним</w:t>
      </w:r>
      <w:r w:rsidR="00E15665">
        <w:rPr>
          <w:rFonts w:asciiTheme="majorHAnsi" w:hAnsiTheme="majorHAnsi" w:cstheme="majorHAnsi"/>
          <w:sz w:val="20"/>
          <w:szCs w:val="20"/>
          <w:lang w:val="sr-Cyrl-RS"/>
        </w:rPr>
        <w:t xml:space="preserve"> </w:t>
      </w:r>
      <w:r w:rsidRPr="006779CF">
        <w:rPr>
          <w:rFonts w:asciiTheme="majorHAnsi" w:hAnsiTheme="majorHAnsi" w:cstheme="majorHAnsi"/>
          <w:sz w:val="20"/>
          <w:szCs w:val="20"/>
          <w:lang w:val="sr-Cyrl-RS"/>
        </w:rPr>
        <w:t>подацима и информацијама, којом су дефинисане све активности у вези са</w:t>
      </w:r>
      <w:r w:rsidR="00E15665">
        <w:rPr>
          <w:rFonts w:asciiTheme="majorHAnsi" w:hAnsiTheme="majorHAnsi" w:cstheme="majorHAnsi"/>
          <w:sz w:val="20"/>
          <w:szCs w:val="20"/>
          <w:lang w:val="sr-Cyrl-RS"/>
        </w:rPr>
        <w:t xml:space="preserve"> </w:t>
      </w:r>
      <w:r w:rsidRPr="006779CF">
        <w:rPr>
          <w:rFonts w:asciiTheme="majorHAnsi" w:hAnsiTheme="majorHAnsi" w:cstheme="majorHAnsi"/>
          <w:sz w:val="20"/>
          <w:szCs w:val="20"/>
          <w:lang w:val="sr-Cyrl-RS"/>
        </w:rPr>
        <w:t>спровођењем ванредних ревизија, као и начин информисања корисника. Овом</w:t>
      </w:r>
      <w:r w:rsidR="00E15665">
        <w:rPr>
          <w:rFonts w:asciiTheme="majorHAnsi" w:hAnsiTheme="majorHAnsi" w:cstheme="majorHAnsi"/>
          <w:sz w:val="20"/>
          <w:szCs w:val="20"/>
          <w:lang w:val="sr-Cyrl-RS"/>
        </w:rPr>
        <w:t xml:space="preserve"> </w:t>
      </w:r>
      <w:r w:rsidRPr="006779CF">
        <w:rPr>
          <w:rFonts w:asciiTheme="majorHAnsi" w:hAnsiTheme="majorHAnsi" w:cstheme="majorHAnsi"/>
          <w:sz w:val="20"/>
          <w:szCs w:val="20"/>
          <w:lang w:val="sr-Cyrl-RS"/>
        </w:rPr>
        <w:t>процедуром дефинише се следеће:</w:t>
      </w:r>
    </w:p>
    <w:p w:rsidR="006779CF" w:rsidRPr="006779CF" w:rsidRDefault="006779CF" w:rsidP="006779CF">
      <w:pPr>
        <w:pStyle w:val="ListParagraph"/>
        <w:numPr>
          <w:ilvl w:val="0"/>
          <w:numId w:val="31"/>
        </w:numPr>
        <w:jc w:val="both"/>
        <w:rPr>
          <w:rFonts w:asciiTheme="majorHAnsi" w:hAnsiTheme="majorHAnsi" w:cstheme="majorHAnsi"/>
          <w:sz w:val="20"/>
          <w:szCs w:val="20"/>
          <w:lang w:val="sr-Cyrl-RS"/>
        </w:rPr>
      </w:pPr>
      <w:r w:rsidRPr="006779CF">
        <w:rPr>
          <w:rFonts w:asciiTheme="majorHAnsi" w:hAnsiTheme="majorHAnsi" w:cstheme="majorHAnsi"/>
          <w:sz w:val="20"/>
          <w:szCs w:val="20"/>
          <w:lang w:val="sr-Cyrl-RS"/>
        </w:rPr>
        <w:t>откривање грешке;</w:t>
      </w:r>
    </w:p>
    <w:p w:rsidR="006779CF" w:rsidRPr="006779CF" w:rsidRDefault="006779CF" w:rsidP="006779CF">
      <w:pPr>
        <w:pStyle w:val="ListParagraph"/>
        <w:numPr>
          <w:ilvl w:val="0"/>
          <w:numId w:val="31"/>
        </w:numPr>
        <w:jc w:val="both"/>
        <w:rPr>
          <w:rFonts w:asciiTheme="majorHAnsi" w:hAnsiTheme="majorHAnsi" w:cstheme="majorHAnsi"/>
          <w:sz w:val="20"/>
          <w:szCs w:val="20"/>
          <w:lang w:val="sr-Cyrl-RS"/>
        </w:rPr>
      </w:pPr>
      <w:r w:rsidRPr="006779CF">
        <w:rPr>
          <w:rFonts w:asciiTheme="majorHAnsi" w:hAnsiTheme="majorHAnsi" w:cstheme="majorHAnsi"/>
          <w:sz w:val="20"/>
          <w:szCs w:val="20"/>
          <w:lang w:val="sr-Cyrl-RS"/>
        </w:rPr>
        <w:t>утврђивање врсте грешке;</w:t>
      </w:r>
    </w:p>
    <w:p w:rsidR="006779CF" w:rsidRPr="006779CF" w:rsidRDefault="006779CF" w:rsidP="006779CF">
      <w:pPr>
        <w:pStyle w:val="ListParagraph"/>
        <w:numPr>
          <w:ilvl w:val="0"/>
          <w:numId w:val="31"/>
        </w:numPr>
        <w:jc w:val="both"/>
        <w:rPr>
          <w:rFonts w:asciiTheme="majorHAnsi" w:hAnsiTheme="majorHAnsi" w:cstheme="majorHAnsi"/>
          <w:sz w:val="20"/>
          <w:szCs w:val="20"/>
          <w:lang w:val="sr-Cyrl-RS"/>
        </w:rPr>
      </w:pPr>
      <w:r w:rsidRPr="006779CF">
        <w:rPr>
          <w:rFonts w:asciiTheme="majorHAnsi" w:hAnsiTheme="majorHAnsi" w:cstheme="majorHAnsi"/>
          <w:sz w:val="20"/>
          <w:szCs w:val="20"/>
          <w:lang w:val="sr-Cyrl-RS"/>
        </w:rPr>
        <w:t>исправка лаке грешке у статистичким подацима/информацијама;</w:t>
      </w:r>
    </w:p>
    <w:p w:rsidR="006779CF" w:rsidRPr="006779CF" w:rsidRDefault="006779CF" w:rsidP="006779CF">
      <w:pPr>
        <w:pStyle w:val="ListParagraph"/>
        <w:numPr>
          <w:ilvl w:val="0"/>
          <w:numId w:val="31"/>
        </w:numPr>
        <w:jc w:val="both"/>
        <w:rPr>
          <w:rFonts w:asciiTheme="majorHAnsi" w:hAnsiTheme="majorHAnsi" w:cstheme="majorHAnsi"/>
          <w:sz w:val="20"/>
          <w:szCs w:val="20"/>
          <w:lang w:val="sr-Cyrl-RS"/>
        </w:rPr>
      </w:pPr>
      <w:r w:rsidRPr="006779CF">
        <w:rPr>
          <w:rFonts w:asciiTheme="majorHAnsi" w:hAnsiTheme="majorHAnsi" w:cstheme="majorHAnsi"/>
          <w:sz w:val="20"/>
          <w:szCs w:val="20"/>
          <w:lang w:val="sr-Cyrl-RS"/>
        </w:rPr>
        <w:t>исправка тешке грешке у статистичким подацима/информацијама;</w:t>
      </w:r>
    </w:p>
    <w:p w:rsidR="006779CF" w:rsidRPr="006779CF" w:rsidRDefault="006779CF" w:rsidP="0001009D">
      <w:pPr>
        <w:pStyle w:val="ListParagraph"/>
        <w:numPr>
          <w:ilvl w:val="1"/>
          <w:numId w:val="31"/>
        </w:numPr>
        <w:jc w:val="both"/>
        <w:rPr>
          <w:rFonts w:asciiTheme="majorHAnsi" w:hAnsiTheme="majorHAnsi" w:cstheme="majorHAnsi"/>
          <w:sz w:val="20"/>
          <w:szCs w:val="20"/>
          <w:lang w:val="sr-Cyrl-RS"/>
        </w:rPr>
      </w:pPr>
      <w:r w:rsidRPr="006779CF">
        <w:rPr>
          <w:rFonts w:asciiTheme="majorHAnsi" w:hAnsiTheme="majorHAnsi" w:cstheme="majorHAnsi"/>
          <w:sz w:val="20"/>
          <w:szCs w:val="20"/>
          <w:lang w:val="sr-Cyrl-RS"/>
        </w:rPr>
        <w:t>исправка тешке грешке у штампаним публикацијама;</w:t>
      </w:r>
    </w:p>
    <w:p w:rsidR="006779CF" w:rsidRPr="0001009D" w:rsidRDefault="006779CF" w:rsidP="0001009D">
      <w:pPr>
        <w:pStyle w:val="ListParagraph"/>
        <w:numPr>
          <w:ilvl w:val="1"/>
          <w:numId w:val="31"/>
        </w:numPr>
        <w:jc w:val="both"/>
        <w:rPr>
          <w:rFonts w:asciiTheme="majorHAnsi" w:hAnsiTheme="majorHAnsi" w:cstheme="majorHAnsi"/>
          <w:sz w:val="20"/>
          <w:szCs w:val="20"/>
          <w:lang w:val="sr-Cyrl-RS"/>
        </w:rPr>
      </w:pPr>
      <w:r w:rsidRPr="0001009D">
        <w:rPr>
          <w:rFonts w:asciiTheme="majorHAnsi" w:hAnsiTheme="majorHAnsi" w:cstheme="majorHAnsi"/>
          <w:sz w:val="20"/>
          <w:szCs w:val="20"/>
          <w:lang w:val="sr-Cyrl-RS"/>
        </w:rPr>
        <w:t>исправка тешке грешке у електронским издањима (публикацијама,</w:t>
      </w:r>
      <w:r w:rsidR="0001009D" w:rsidRPr="0001009D">
        <w:rPr>
          <w:rFonts w:asciiTheme="majorHAnsi" w:hAnsiTheme="majorHAnsi" w:cstheme="majorHAnsi"/>
          <w:sz w:val="20"/>
          <w:szCs w:val="20"/>
          <w:lang w:val="sr-Cyrl-RS"/>
        </w:rPr>
        <w:t xml:space="preserve"> </w:t>
      </w:r>
      <w:r w:rsidRPr="0001009D">
        <w:rPr>
          <w:rFonts w:asciiTheme="majorHAnsi" w:hAnsiTheme="majorHAnsi" w:cstheme="majorHAnsi"/>
          <w:sz w:val="20"/>
          <w:szCs w:val="20"/>
          <w:lang w:val="sr-Cyrl-RS"/>
        </w:rPr>
        <w:t>саопштењима и саопштењима за јавност);</w:t>
      </w:r>
    </w:p>
    <w:p w:rsidR="006779CF" w:rsidRPr="006779CF" w:rsidRDefault="006779CF" w:rsidP="0001009D">
      <w:pPr>
        <w:pStyle w:val="ListParagraph"/>
        <w:numPr>
          <w:ilvl w:val="1"/>
          <w:numId w:val="31"/>
        </w:numPr>
        <w:jc w:val="both"/>
        <w:rPr>
          <w:rFonts w:asciiTheme="majorHAnsi" w:hAnsiTheme="majorHAnsi" w:cstheme="majorHAnsi"/>
          <w:sz w:val="20"/>
          <w:szCs w:val="20"/>
          <w:lang w:val="sr-Cyrl-RS"/>
        </w:rPr>
      </w:pPr>
      <w:r w:rsidRPr="006779CF">
        <w:rPr>
          <w:rFonts w:asciiTheme="majorHAnsi" w:hAnsiTheme="majorHAnsi" w:cstheme="majorHAnsi"/>
          <w:sz w:val="20"/>
          <w:szCs w:val="20"/>
          <w:lang w:val="sr-Cyrl-RS"/>
        </w:rPr>
        <w:t>исправка тешке грешке у бази података;</w:t>
      </w:r>
    </w:p>
    <w:p w:rsidR="006779CF" w:rsidRPr="006779CF" w:rsidRDefault="006779CF" w:rsidP="0001009D">
      <w:pPr>
        <w:pStyle w:val="ListParagraph"/>
        <w:numPr>
          <w:ilvl w:val="1"/>
          <w:numId w:val="31"/>
        </w:numPr>
        <w:jc w:val="both"/>
        <w:rPr>
          <w:rFonts w:asciiTheme="majorHAnsi" w:hAnsiTheme="majorHAnsi" w:cstheme="majorHAnsi"/>
          <w:sz w:val="20"/>
          <w:szCs w:val="20"/>
          <w:lang w:val="sr-Cyrl-RS"/>
        </w:rPr>
      </w:pPr>
      <w:r w:rsidRPr="006779CF">
        <w:rPr>
          <w:rFonts w:asciiTheme="majorHAnsi" w:hAnsiTheme="majorHAnsi" w:cstheme="majorHAnsi"/>
          <w:sz w:val="20"/>
          <w:szCs w:val="20"/>
          <w:lang w:val="sr-Cyrl-RS"/>
        </w:rPr>
        <w:t>исправка тешке грешке у садржају веб-сајта;</w:t>
      </w:r>
    </w:p>
    <w:p w:rsidR="006779CF" w:rsidRPr="006779CF" w:rsidRDefault="006779CF" w:rsidP="006779CF">
      <w:pPr>
        <w:pStyle w:val="ListParagraph"/>
        <w:numPr>
          <w:ilvl w:val="0"/>
          <w:numId w:val="31"/>
        </w:numPr>
        <w:jc w:val="both"/>
        <w:rPr>
          <w:rFonts w:asciiTheme="majorHAnsi" w:hAnsiTheme="majorHAnsi" w:cstheme="majorHAnsi"/>
          <w:sz w:val="20"/>
          <w:szCs w:val="20"/>
          <w:lang w:val="sr-Cyrl-RS"/>
        </w:rPr>
      </w:pPr>
      <w:r w:rsidRPr="006779CF">
        <w:rPr>
          <w:rFonts w:asciiTheme="majorHAnsi" w:hAnsiTheme="majorHAnsi" w:cstheme="majorHAnsi"/>
          <w:sz w:val="20"/>
          <w:szCs w:val="20"/>
          <w:lang w:val="sr-Cyrl-RS"/>
        </w:rPr>
        <w:t>изузетак од активности у отклањању тешких грешака;</w:t>
      </w:r>
    </w:p>
    <w:p w:rsidR="006779CF" w:rsidRPr="006779CF" w:rsidRDefault="006779CF" w:rsidP="006779CF">
      <w:pPr>
        <w:pStyle w:val="ListParagraph"/>
        <w:numPr>
          <w:ilvl w:val="0"/>
          <w:numId w:val="31"/>
        </w:numPr>
        <w:jc w:val="both"/>
        <w:rPr>
          <w:rFonts w:asciiTheme="majorHAnsi" w:hAnsiTheme="majorHAnsi" w:cstheme="majorHAnsi"/>
          <w:sz w:val="20"/>
          <w:szCs w:val="20"/>
          <w:lang w:val="sr-Cyrl-RS"/>
        </w:rPr>
      </w:pPr>
      <w:r w:rsidRPr="006779CF">
        <w:rPr>
          <w:rFonts w:asciiTheme="majorHAnsi" w:hAnsiTheme="majorHAnsi" w:cstheme="majorHAnsi"/>
          <w:sz w:val="20"/>
          <w:szCs w:val="20"/>
          <w:lang w:val="sr-Cyrl-RS"/>
        </w:rPr>
        <w:t>исправка грешке у Календару публикација;</w:t>
      </w:r>
    </w:p>
    <w:p w:rsidR="00016E97" w:rsidRDefault="006779CF" w:rsidP="00016E97">
      <w:pPr>
        <w:pStyle w:val="ListParagraph"/>
        <w:numPr>
          <w:ilvl w:val="0"/>
          <w:numId w:val="31"/>
        </w:numPr>
        <w:jc w:val="both"/>
        <w:rPr>
          <w:rFonts w:asciiTheme="majorHAnsi" w:hAnsiTheme="majorHAnsi" w:cstheme="majorHAnsi"/>
          <w:sz w:val="20"/>
          <w:szCs w:val="20"/>
          <w:lang w:val="sr-Cyrl-RS"/>
        </w:rPr>
      </w:pPr>
      <w:r w:rsidRPr="00E15665">
        <w:rPr>
          <w:rFonts w:asciiTheme="majorHAnsi" w:hAnsiTheme="majorHAnsi" w:cstheme="majorHAnsi"/>
          <w:sz w:val="20"/>
          <w:szCs w:val="20"/>
          <w:lang w:val="sr-Cyrl-RS"/>
        </w:rPr>
        <w:t>налог за исправку тешке грешке – стандардизован образац за извештавање о</w:t>
      </w:r>
      <w:r w:rsidR="00E15665" w:rsidRPr="00E15665">
        <w:rPr>
          <w:rFonts w:asciiTheme="majorHAnsi" w:hAnsiTheme="majorHAnsi" w:cstheme="majorHAnsi"/>
          <w:sz w:val="20"/>
          <w:szCs w:val="20"/>
          <w:lang w:val="sr-Cyrl-RS"/>
        </w:rPr>
        <w:t xml:space="preserve"> </w:t>
      </w:r>
      <w:r w:rsidRPr="00E15665">
        <w:rPr>
          <w:rFonts w:asciiTheme="majorHAnsi" w:hAnsiTheme="majorHAnsi" w:cstheme="majorHAnsi"/>
          <w:sz w:val="20"/>
          <w:szCs w:val="20"/>
          <w:lang w:val="sr-Cyrl-RS"/>
        </w:rPr>
        <w:t>откривеним тешким грешкама у објављеним статистичким подацима.</w:t>
      </w:r>
    </w:p>
    <w:p w:rsidR="00E06C88" w:rsidRPr="00E06C88" w:rsidRDefault="00E06C88" w:rsidP="00113BB6">
      <w:pPr>
        <w:pStyle w:val="ListParagraph"/>
        <w:spacing w:after="0" w:line="276" w:lineRule="auto"/>
        <w:ind w:left="1080"/>
        <w:jc w:val="both"/>
        <w:rPr>
          <w:rFonts w:asciiTheme="majorHAnsi" w:hAnsiTheme="majorHAnsi" w:cstheme="majorHAnsi"/>
          <w:sz w:val="20"/>
          <w:szCs w:val="20"/>
          <w:lang w:val="sr-Cyrl-RS"/>
        </w:rPr>
      </w:pPr>
    </w:p>
    <w:p w:rsidR="006C1EFA" w:rsidRDefault="006C1EFA" w:rsidP="00113BB6">
      <w:pPr>
        <w:spacing w:after="0"/>
        <w:jc w:val="both"/>
        <w:rPr>
          <w:rFonts w:asciiTheme="majorHAnsi" w:hAnsiTheme="majorHAnsi" w:cstheme="majorHAnsi"/>
          <w:sz w:val="20"/>
          <w:szCs w:val="20"/>
          <w:lang w:val="sr-Cyrl-RS"/>
        </w:rPr>
      </w:pPr>
      <w:r w:rsidRPr="006C1EFA">
        <w:rPr>
          <w:rFonts w:asciiTheme="majorHAnsi" w:hAnsiTheme="majorHAnsi" w:cstheme="majorHAnsi"/>
          <w:sz w:val="20"/>
          <w:szCs w:val="20"/>
          <w:lang w:val="sr-Cyrl-RS"/>
        </w:rPr>
        <w:t xml:space="preserve">Национални рачуни до сада нису извршили ниједну </w:t>
      </w:r>
      <w:r>
        <w:rPr>
          <w:rFonts w:asciiTheme="majorHAnsi" w:hAnsiTheme="majorHAnsi" w:cstheme="majorHAnsi"/>
          <w:sz w:val="20"/>
          <w:szCs w:val="20"/>
          <w:lang w:val="sr-Cyrl-RS"/>
        </w:rPr>
        <w:t>ванредну</w:t>
      </w:r>
      <w:r w:rsidRPr="006C1EFA">
        <w:rPr>
          <w:rFonts w:asciiTheme="majorHAnsi" w:hAnsiTheme="majorHAnsi" w:cstheme="majorHAnsi"/>
          <w:sz w:val="20"/>
          <w:szCs w:val="20"/>
          <w:lang w:val="sr-Cyrl-RS"/>
        </w:rPr>
        <w:t xml:space="preserve"> ревизију.</w:t>
      </w:r>
    </w:p>
    <w:p w:rsidR="00113BB6" w:rsidRPr="006C1EFA" w:rsidRDefault="00113BB6" w:rsidP="00113BB6">
      <w:pPr>
        <w:spacing w:after="0"/>
        <w:jc w:val="both"/>
        <w:rPr>
          <w:rFonts w:asciiTheme="majorHAnsi" w:hAnsiTheme="majorHAnsi" w:cstheme="majorHAnsi"/>
          <w:sz w:val="20"/>
          <w:szCs w:val="20"/>
          <w:lang w:val="sr-Cyrl-RS"/>
        </w:rPr>
      </w:pPr>
    </w:p>
    <w:p w:rsidR="00A747A9" w:rsidRPr="006C7B09" w:rsidRDefault="003E6EF1" w:rsidP="002E2F6A">
      <w:pPr>
        <w:jc w:val="both"/>
        <w:rPr>
          <w:rFonts w:asciiTheme="majorHAnsi" w:hAnsiTheme="majorHAnsi" w:cstheme="majorHAnsi"/>
          <w:sz w:val="20"/>
          <w:szCs w:val="20"/>
        </w:rPr>
      </w:pPr>
      <w:r w:rsidRPr="006C7B09">
        <w:rPr>
          <w:rFonts w:asciiTheme="majorHAnsi" w:hAnsiTheme="majorHAnsi" w:cstheme="majorHAnsi"/>
          <w:sz w:val="20"/>
          <w:szCs w:val="20"/>
          <w:lang w:val="sr-Cyrl-RS"/>
        </w:rPr>
        <w:t xml:space="preserve">Детаљно објашњење у вези са ванредним ревизијама може се наћи у документу </w:t>
      </w:r>
      <w:r w:rsidR="00FB65B7" w:rsidRPr="006C7B09">
        <w:rPr>
          <w:rFonts w:asciiTheme="majorHAnsi" w:hAnsiTheme="majorHAnsi" w:cstheme="majorHAnsi"/>
          <w:sz w:val="20"/>
          <w:szCs w:val="20"/>
        </w:rPr>
        <w:t xml:space="preserve"> </w:t>
      </w:r>
      <w:r w:rsidR="001109DA" w:rsidRPr="007F14A6">
        <w:t>„</w:t>
      </w:r>
      <w:hyperlink r:id="rId9" w:history="1">
        <w:r w:rsidR="0042776B" w:rsidRPr="004E4F23">
          <w:rPr>
            <w:rStyle w:val="Hyperlink"/>
          </w:rPr>
          <w:t>Општа политика ревизије</w:t>
        </w:r>
      </w:hyperlink>
      <w:r w:rsidR="001109DA">
        <w:rPr>
          <w:rFonts w:ascii="Arial" w:hAnsi="Arial" w:cs="Arial"/>
          <w:sz w:val="20"/>
          <w:szCs w:val="20"/>
          <w:lang w:val="sr-Cyrl-RS"/>
        </w:rPr>
        <w:t>“</w:t>
      </w:r>
      <w:r w:rsidR="00906365" w:rsidRPr="006C7B09">
        <w:rPr>
          <w:rFonts w:asciiTheme="majorHAnsi" w:hAnsiTheme="majorHAnsi" w:cstheme="majorHAnsi"/>
          <w:sz w:val="20"/>
          <w:szCs w:val="20"/>
          <w:lang w:val="sr-Cyrl-RS"/>
        </w:rPr>
        <w:t>.</w:t>
      </w:r>
    </w:p>
    <w:sectPr w:rsidR="00A747A9" w:rsidRPr="006C7B09" w:rsidSect="00296770">
      <w:pgSz w:w="12240" w:h="15840" w:code="1"/>
      <w:pgMar w:top="1440" w:right="1440" w:bottom="1440" w:left="1440" w:header="706" w:footer="706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8C7C1C" w16cex:dateUtc="2020-06-11T07:47:00Z"/>
  <w16cex:commentExtensible w16cex:durableId="228C7BDE" w16cex:dateUtc="2020-06-11T07:46:00Z"/>
  <w16cex:commentExtensible w16cex:durableId="228C7FA4" w16cex:dateUtc="2020-06-11T08:02:00Z"/>
  <w16cex:commentExtensible w16cex:durableId="228C7C84" w16cex:dateUtc="2020-06-11T07:48:00Z"/>
  <w16cex:commentExtensible w16cex:durableId="228C80B8" w16cex:dateUtc="2020-06-11T08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769B3DD" w16cid:durableId="228C7C1C"/>
  <w16cid:commentId w16cid:paraId="0E424900" w16cid:durableId="228C7BDE"/>
  <w16cid:commentId w16cid:paraId="0D03EC14" w16cid:durableId="228C7FA4"/>
  <w16cid:commentId w16cid:paraId="5F334CA9" w16cid:durableId="228C7C84"/>
  <w16cid:commentId w16cid:paraId="0B2A51E8" w16cid:durableId="228C80B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485" w:rsidRDefault="009E5485" w:rsidP="008775ED">
      <w:pPr>
        <w:spacing w:after="0" w:line="240" w:lineRule="auto"/>
      </w:pPr>
      <w:r>
        <w:separator/>
      </w:r>
    </w:p>
  </w:endnote>
  <w:endnote w:type="continuationSeparator" w:id="0">
    <w:p w:rsidR="009E5485" w:rsidRDefault="009E5485" w:rsidP="00877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73232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F12BF" w:rsidRDefault="008F12B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01B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F12BF" w:rsidRDefault="008F12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485" w:rsidRDefault="009E5485" w:rsidP="008775ED">
      <w:pPr>
        <w:spacing w:after="0" w:line="240" w:lineRule="auto"/>
      </w:pPr>
      <w:r>
        <w:separator/>
      </w:r>
    </w:p>
  </w:footnote>
  <w:footnote w:type="continuationSeparator" w:id="0">
    <w:p w:rsidR="009E5485" w:rsidRDefault="009E5485" w:rsidP="008775ED">
      <w:pPr>
        <w:spacing w:after="0" w:line="240" w:lineRule="auto"/>
      </w:pPr>
      <w:r>
        <w:continuationSeparator/>
      </w:r>
    </w:p>
  </w:footnote>
  <w:footnote w:id="1">
    <w:p w:rsidR="004A6443" w:rsidRPr="00691FAE" w:rsidRDefault="004A6443">
      <w:pPr>
        <w:pStyle w:val="FootnoteText"/>
        <w:rPr>
          <w:rFonts w:asciiTheme="majorHAnsi" w:hAnsiTheme="majorHAnsi" w:cstheme="majorHAnsi"/>
          <w:lang w:val="sr-Cyrl-RS"/>
        </w:rPr>
      </w:pPr>
      <w:r w:rsidRPr="00691FAE">
        <w:rPr>
          <w:rStyle w:val="FootnoteReference"/>
          <w:rFonts w:asciiTheme="majorHAnsi" w:hAnsiTheme="majorHAnsi" w:cstheme="majorHAnsi"/>
        </w:rPr>
        <w:footnoteRef/>
      </w:r>
      <w:r w:rsidRPr="00691FAE">
        <w:rPr>
          <w:rFonts w:asciiTheme="majorHAnsi" w:hAnsiTheme="majorHAnsi" w:cstheme="majorHAnsi"/>
        </w:rPr>
        <w:t xml:space="preserve"> </w:t>
      </w:r>
      <w:hyperlink r:id="rId1" w:history="1">
        <w:r w:rsidRPr="00691FAE">
          <w:rPr>
            <w:rStyle w:val="Hyperlink"/>
            <w:rFonts w:asciiTheme="majorHAnsi" w:hAnsiTheme="majorHAnsi" w:cstheme="majorHAnsi"/>
          </w:rPr>
          <w:t>https://www.cmfb.org/main-topics/revision-policy</w:t>
        </w:r>
      </w:hyperlink>
    </w:p>
  </w:footnote>
  <w:footnote w:id="2">
    <w:p w:rsidR="004A6443" w:rsidRPr="00691FAE" w:rsidRDefault="004A6443">
      <w:pPr>
        <w:pStyle w:val="FootnoteText"/>
        <w:rPr>
          <w:rFonts w:asciiTheme="majorHAnsi" w:hAnsiTheme="majorHAnsi" w:cstheme="majorHAnsi"/>
          <w:lang w:val="sr-Cyrl-RS"/>
        </w:rPr>
      </w:pPr>
      <w:r w:rsidRPr="00691FAE">
        <w:rPr>
          <w:rStyle w:val="FootnoteReference"/>
          <w:rFonts w:asciiTheme="majorHAnsi" w:hAnsiTheme="majorHAnsi" w:cstheme="majorHAnsi"/>
        </w:rPr>
        <w:footnoteRef/>
      </w:r>
      <w:r w:rsidRPr="00691FAE">
        <w:rPr>
          <w:rFonts w:asciiTheme="majorHAnsi" w:hAnsiTheme="majorHAnsi" w:cstheme="majorHAnsi"/>
        </w:rPr>
        <w:t xml:space="preserve"> </w:t>
      </w:r>
      <w:hyperlink r:id="rId2" w:history="1">
        <w:r w:rsidRPr="00691FAE">
          <w:rPr>
            <w:rStyle w:val="Hyperlink"/>
            <w:rFonts w:asciiTheme="majorHAnsi" w:hAnsiTheme="majorHAnsi" w:cstheme="majorHAnsi"/>
          </w:rPr>
          <w:t>https://ec.europa.eu/eurostat/documents/3859598/9530664/KS-GQ-18-012-EN-N.pdf</w:t>
        </w:r>
      </w:hyperlink>
    </w:p>
  </w:footnote>
  <w:footnote w:id="3">
    <w:p w:rsidR="0010741C" w:rsidRPr="0010741C" w:rsidRDefault="0010741C" w:rsidP="00D42291">
      <w:pPr>
        <w:pStyle w:val="FootnoteText"/>
        <w:jc w:val="both"/>
        <w:rPr>
          <w:rFonts w:asciiTheme="majorHAnsi" w:hAnsiTheme="majorHAnsi" w:cstheme="majorHAnsi"/>
          <w:highlight w:val="yellow"/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 w:rsidRPr="0007619F">
        <w:rPr>
          <w:rFonts w:asciiTheme="majorHAnsi" w:hAnsiTheme="majorHAnsi" w:cstheme="majorHAnsi"/>
          <w:lang w:val="sr-Cyrl-RS"/>
        </w:rPr>
        <w:t xml:space="preserve">У случају великих </w:t>
      </w:r>
      <w:r w:rsidR="00E32EB7">
        <w:rPr>
          <w:rFonts w:asciiTheme="majorHAnsi" w:hAnsiTheme="majorHAnsi" w:cstheme="majorHAnsi"/>
          <w:lang w:val="sr-Cyrl-RS"/>
        </w:rPr>
        <w:t xml:space="preserve">редовних </w:t>
      </w:r>
      <w:r w:rsidRPr="0007619F">
        <w:rPr>
          <w:rFonts w:asciiTheme="majorHAnsi" w:hAnsiTheme="majorHAnsi" w:cstheme="majorHAnsi"/>
          <w:lang w:val="sr-Cyrl-RS"/>
        </w:rPr>
        <w:t>(бенчмарк) ревизија табеле понуде и употребе треба да се ажурирају за годину t-4 (после тога</w:t>
      </w:r>
      <w:r w:rsidR="00335080" w:rsidRPr="0007619F">
        <w:rPr>
          <w:rFonts w:asciiTheme="majorHAnsi" w:hAnsiTheme="majorHAnsi" w:cstheme="majorHAnsi"/>
          <w:lang w:val="sr-Cyrl-RS"/>
        </w:rPr>
        <w:t xml:space="preserve">, </w:t>
      </w:r>
      <w:r w:rsidRPr="0007619F">
        <w:rPr>
          <w:rFonts w:asciiTheme="majorHAnsi" w:hAnsiTheme="majorHAnsi" w:cstheme="majorHAnsi"/>
          <w:lang w:val="sr-Cyrl-RS"/>
        </w:rPr>
        <w:t>у децембру следи трансмисија табела понуде и употребе за годину t-3, у складу са захтевима трансмисионог програма).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D17A8"/>
    <w:multiLevelType w:val="hybridMultilevel"/>
    <w:tmpl w:val="9C5E5420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C380DAC"/>
    <w:multiLevelType w:val="hybridMultilevel"/>
    <w:tmpl w:val="5FE2C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8F72A6"/>
    <w:multiLevelType w:val="hybridMultilevel"/>
    <w:tmpl w:val="76DA0208"/>
    <w:lvl w:ilvl="0" w:tplc="33ACA5FC">
      <w:start w:val="1"/>
      <w:numFmt w:val="bullet"/>
      <w:lvlText w:val="ç"/>
      <w:lvlJc w:val="left"/>
      <w:pPr>
        <w:ind w:left="720" w:hanging="360"/>
      </w:pPr>
      <w:rPr>
        <w:rFonts w:ascii="Wingdings 2" w:hAnsi="Wingdings 2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D41A8"/>
    <w:multiLevelType w:val="hybridMultilevel"/>
    <w:tmpl w:val="F3C8D7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2D4D04"/>
    <w:multiLevelType w:val="hybridMultilevel"/>
    <w:tmpl w:val="9C96A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B12D6A"/>
    <w:multiLevelType w:val="hybridMultilevel"/>
    <w:tmpl w:val="F18C1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656116"/>
    <w:multiLevelType w:val="hybridMultilevel"/>
    <w:tmpl w:val="B7E45412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1615CA"/>
    <w:multiLevelType w:val="hybridMultilevel"/>
    <w:tmpl w:val="3B024B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3A4344"/>
    <w:multiLevelType w:val="hybridMultilevel"/>
    <w:tmpl w:val="8034D7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2833284"/>
    <w:multiLevelType w:val="hybridMultilevel"/>
    <w:tmpl w:val="00B0D302"/>
    <w:lvl w:ilvl="0" w:tplc="27F8B34C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F25022"/>
    <w:multiLevelType w:val="hybridMultilevel"/>
    <w:tmpl w:val="F3882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6"/>
  </w:num>
  <w:num w:numId="12">
    <w:abstractNumId w:val="5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7"/>
  </w:num>
  <w:num w:numId="24">
    <w:abstractNumId w:val="2"/>
  </w:num>
  <w:num w:numId="25">
    <w:abstractNumId w:val="0"/>
  </w:num>
  <w:num w:numId="26">
    <w:abstractNumId w:val="4"/>
  </w:num>
  <w:num w:numId="27">
    <w:abstractNumId w:val="11"/>
  </w:num>
  <w:num w:numId="28">
    <w:abstractNumId w:val="10"/>
  </w:num>
  <w:num w:numId="29">
    <w:abstractNumId w:val="3"/>
  </w:num>
  <w:num w:numId="30">
    <w:abstractNumId w:val="8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activeWritingStyle w:appName="MSWord" w:lang="fr-BE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IE" w:vendorID="64" w:dllVersion="6" w:nlCheck="1" w:checkStyle="0"/>
  <w:activeWritingStyle w:appName="MSWord" w:lang="en-GB" w:vendorID="64" w:dllVersion="4096" w:nlCheck="1" w:checkStyle="0"/>
  <w:activeWritingStyle w:appName="MSWord" w:lang="en-IE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en-IE" w:vendorID="64" w:dllVersion="0" w:nlCheck="1" w:checkStyle="0"/>
  <w:activeWritingStyle w:appName="MSWord" w:lang="en-US" w:vendorID="64" w:dllVersion="131078" w:nlCheck="1" w:checkStyle="1"/>
  <w:activeWritingStyle w:appName="MSWord" w:lang="en-IE" w:vendorID="64" w:dllVersion="131078" w:nlCheck="1" w:checkStyle="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8775ED"/>
    <w:rsid w:val="00001B56"/>
    <w:rsid w:val="00004658"/>
    <w:rsid w:val="000052BA"/>
    <w:rsid w:val="0001009D"/>
    <w:rsid w:val="00012926"/>
    <w:rsid w:val="00016E97"/>
    <w:rsid w:val="0002241A"/>
    <w:rsid w:val="00034A71"/>
    <w:rsid w:val="000554EA"/>
    <w:rsid w:val="000671D8"/>
    <w:rsid w:val="0006765E"/>
    <w:rsid w:val="00070A63"/>
    <w:rsid w:val="00073A0D"/>
    <w:rsid w:val="0007619F"/>
    <w:rsid w:val="00081798"/>
    <w:rsid w:val="00091573"/>
    <w:rsid w:val="000A02B4"/>
    <w:rsid w:val="000A55B7"/>
    <w:rsid w:val="000A5CDA"/>
    <w:rsid w:val="000C6838"/>
    <w:rsid w:val="000D0051"/>
    <w:rsid w:val="0010583E"/>
    <w:rsid w:val="0010741C"/>
    <w:rsid w:val="001109DA"/>
    <w:rsid w:val="00113BB6"/>
    <w:rsid w:val="001524C8"/>
    <w:rsid w:val="0016107F"/>
    <w:rsid w:val="00173F82"/>
    <w:rsid w:val="00176865"/>
    <w:rsid w:val="00195B11"/>
    <w:rsid w:val="001A367C"/>
    <w:rsid w:val="001A3B88"/>
    <w:rsid w:val="001A4420"/>
    <w:rsid w:val="001B7D1B"/>
    <w:rsid w:val="001C0B8B"/>
    <w:rsid w:val="001C1497"/>
    <w:rsid w:val="001C6CC1"/>
    <w:rsid w:val="001D2575"/>
    <w:rsid w:val="001E0B5E"/>
    <w:rsid w:val="001E2B2B"/>
    <w:rsid w:val="001E30C2"/>
    <w:rsid w:val="001F6B50"/>
    <w:rsid w:val="00201B26"/>
    <w:rsid w:val="002070F4"/>
    <w:rsid w:val="002102B1"/>
    <w:rsid w:val="00224D00"/>
    <w:rsid w:val="00226FA1"/>
    <w:rsid w:val="0022774D"/>
    <w:rsid w:val="002610A6"/>
    <w:rsid w:val="00262299"/>
    <w:rsid w:val="00265181"/>
    <w:rsid w:val="002752AC"/>
    <w:rsid w:val="002760A4"/>
    <w:rsid w:val="00280402"/>
    <w:rsid w:val="00280D12"/>
    <w:rsid w:val="00286904"/>
    <w:rsid w:val="00287B3D"/>
    <w:rsid w:val="00296770"/>
    <w:rsid w:val="002A1442"/>
    <w:rsid w:val="002A3EB3"/>
    <w:rsid w:val="002C79B0"/>
    <w:rsid w:val="002D2CBC"/>
    <w:rsid w:val="002D6AAC"/>
    <w:rsid w:val="002E09F9"/>
    <w:rsid w:val="002E0D58"/>
    <w:rsid w:val="002E1140"/>
    <w:rsid w:val="002E212A"/>
    <w:rsid w:val="002E2F6A"/>
    <w:rsid w:val="002E3B71"/>
    <w:rsid w:val="002E6153"/>
    <w:rsid w:val="003006E1"/>
    <w:rsid w:val="0031014F"/>
    <w:rsid w:val="003153C2"/>
    <w:rsid w:val="00317412"/>
    <w:rsid w:val="00324484"/>
    <w:rsid w:val="00335080"/>
    <w:rsid w:val="00336627"/>
    <w:rsid w:val="00336A87"/>
    <w:rsid w:val="00340E24"/>
    <w:rsid w:val="00341C68"/>
    <w:rsid w:val="0035629F"/>
    <w:rsid w:val="00361A0A"/>
    <w:rsid w:val="00362959"/>
    <w:rsid w:val="0036793A"/>
    <w:rsid w:val="00384378"/>
    <w:rsid w:val="00384D19"/>
    <w:rsid w:val="00386E13"/>
    <w:rsid w:val="00387CE0"/>
    <w:rsid w:val="003B223E"/>
    <w:rsid w:val="003B57C7"/>
    <w:rsid w:val="003C2890"/>
    <w:rsid w:val="003C46FA"/>
    <w:rsid w:val="003C6044"/>
    <w:rsid w:val="003D36AC"/>
    <w:rsid w:val="003D6172"/>
    <w:rsid w:val="003D635C"/>
    <w:rsid w:val="003D69C2"/>
    <w:rsid w:val="003E6EF1"/>
    <w:rsid w:val="003F1EB0"/>
    <w:rsid w:val="003F21FF"/>
    <w:rsid w:val="003F511A"/>
    <w:rsid w:val="00410DAF"/>
    <w:rsid w:val="00414A55"/>
    <w:rsid w:val="00416C35"/>
    <w:rsid w:val="00416C88"/>
    <w:rsid w:val="00421916"/>
    <w:rsid w:val="0042776B"/>
    <w:rsid w:val="00432631"/>
    <w:rsid w:val="0044073B"/>
    <w:rsid w:val="00441D3C"/>
    <w:rsid w:val="004476DB"/>
    <w:rsid w:val="00455704"/>
    <w:rsid w:val="004560A2"/>
    <w:rsid w:val="00456640"/>
    <w:rsid w:val="00472073"/>
    <w:rsid w:val="00472CC6"/>
    <w:rsid w:val="00483167"/>
    <w:rsid w:val="004A6443"/>
    <w:rsid w:val="004B5C84"/>
    <w:rsid w:val="004C0C8C"/>
    <w:rsid w:val="004C558C"/>
    <w:rsid w:val="004C5FA0"/>
    <w:rsid w:val="004C69FD"/>
    <w:rsid w:val="004C7E82"/>
    <w:rsid w:val="004D51F6"/>
    <w:rsid w:val="004E3602"/>
    <w:rsid w:val="004E4F23"/>
    <w:rsid w:val="004E6658"/>
    <w:rsid w:val="004E746E"/>
    <w:rsid w:val="00500157"/>
    <w:rsid w:val="005044DE"/>
    <w:rsid w:val="00514D67"/>
    <w:rsid w:val="005235BE"/>
    <w:rsid w:val="0052725B"/>
    <w:rsid w:val="00530BEB"/>
    <w:rsid w:val="00533639"/>
    <w:rsid w:val="00540D86"/>
    <w:rsid w:val="00541A48"/>
    <w:rsid w:val="00545CDD"/>
    <w:rsid w:val="00547FA6"/>
    <w:rsid w:val="00551F58"/>
    <w:rsid w:val="005556C0"/>
    <w:rsid w:val="005565E9"/>
    <w:rsid w:val="00567A6B"/>
    <w:rsid w:val="0058038E"/>
    <w:rsid w:val="00580F3F"/>
    <w:rsid w:val="0058564B"/>
    <w:rsid w:val="00596FD2"/>
    <w:rsid w:val="005972D1"/>
    <w:rsid w:val="005A436B"/>
    <w:rsid w:val="005A4D84"/>
    <w:rsid w:val="005A4E82"/>
    <w:rsid w:val="005A5613"/>
    <w:rsid w:val="005A5ED0"/>
    <w:rsid w:val="005A7C69"/>
    <w:rsid w:val="005C29BA"/>
    <w:rsid w:val="005C4ABB"/>
    <w:rsid w:val="005D2319"/>
    <w:rsid w:val="005D2C2B"/>
    <w:rsid w:val="005D5368"/>
    <w:rsid w:val="005D72CC"/>
    <w:rsid w:val="005D7564"/>
    <w:rsid w:val="005E4DC0"/>
    <w:rsid w:val="005F28AD"/>
    <w:rsid w:val="005F5676"/>
    <w:rsid w:val="005F568E"/>
    <w:rsid w:val="005F5B5B"/>
    <w:rsid w:val="005F7A08"/>
    <w:rsid w:val="00604AD5"/>
    <w:rsid w:val="00605A62"/>
    <w:rsid w:val="00612BCA"/>
    <w:rsid w:val="0062170F"/>
    <w:rsid w:val="00625684"/>
    <w:rsid w:val="00625962"/>
    <w:rsid w:val="00631F00"/>
    <w:rsid w:val="00633AB8"/>
    <w:rsid w:val="006416C7"/>
    <w:rsid w:val="00641A8E"/>
    <w:rsid w:val="006469A4"/>
    <w:rsid w:val="00653162"/>
    <w:rsid w:val="00666F59"/>
    <w:rsid w:val="0066728A"/>
    <w:rsid w:val="00672243"/>
    <w:rsid w:val="0067374A"/>
    <w:rsid w:val="00674C78"/>
    <w:rsid w:val="006779CF"/>
    <w:rsid w:val="00686F18"/>
    <w:rsid w:val="00687283"/>
    <w:rsid w:val="00691FAE"/>
    <w:rsid w:val="0069209E"/>
    <w:rsid w:val="006A49FD"/>
    <w:rsid w:val="006C1EFA"/>
    <w:rsid w:val="006C4488"/>
    <w:rsid w:val="006C7B09"/>
    <w:rsid w:val="006D03A3"/>
    <w:rsid w:val="006D1DB3"/>
    <w:rsid w:val="006D62F8"/>
    <w:rsid w:val="006D6597"/>
    <w:rsid w:val="006E289C"/>
    <w:rsid w:val="006E61E7"/>
    <w:rsid w:val="006F1BE2"/>
    <w:rsid w:val="006F4250"/>
    <w:rsid w:val="00700BBA"/>
    <w:rsid w:val="00706DC2"/>
    <w:rsid w:val="00712E78"/>
    <w:rsid w:val="00715516"/>
    <w:rsid w:val="00720FCE"/>
    <w:rsid w:val="00721264"/>
    <w:rsid w:val="007248F0"/>
    <w:rsid w:val="00726F7D"/>
    <w:rsid w:val="007313B3"/>
    <w:rsid w:val="00733A3C"/>
    <w:rsid w:val="007441D6"/>
    <w:rsid w:val="00744800"/>
    <w:rsid w:val="0075082B"/>
    <w:rsid w:val="00756E52"/>
    <w:rsid w:val="0076015D"/>
    <w:rsid w:val="00780388"/>
    <w:rsid w:val="007865BD"/>
    <w:rsid w:val="007901EE"/>
    <w:rsid w:val="00792954"/>
    <w:rsid w:val="00792FB1"/>
    <w:rsid w:val="00797A3F"/>
    <w:rsid w:val="007A72A1"/>
    <w:rsid w:val="007B264D"/>
    <w:rsid w:val="007B3628"/>
    <w:rsid w:val="007B6A0C"/>
    <w:rsid w:val="007D1365"/>
    <w:rsid w:val="007D6A0C"/>
    <w:rsid w:val="007E1F25"/>
    <w:rsid w:val="007E3D31"/>
    <w:rsid w:val="007E3D5E"/>
    <w:rsid w:val="007E5577"/>
    <w:rsid w:val="007F14A6"/>
    <w:rsid w:val="00805A14"/>
    <w:rsid w:val="00820C1C"/>
    <w:rsid w:val="00822E12"/>
    <w:rsid w:val="008267EE"/>
    <w:rsid w:val="00831D74"/>
    <w:rsid w:val="00840512"/>
    <w:rsid w:val="0084726E"/>
    <w:rsid w:val="0085300F"/>
    <w:rsid w:val="00856101"/>
    <w:rsid w:val="008650F9"/>
    <w:rsid w:val="008775ED"/>
    <w:rsid w:val="00880E03"/>
    <w:rsid w:val="00895740"/>
    <w:rsid w:val="008A2646"/>
    <w:rsid w:val="008A3384"/>
    <w:rsid w:val="008A673F"/>
    <w:rsid w:val="008A6D5C"/>
    <w:rsid w:val="008D3F3B"/>
    <w:rsid w:val="008D7FD3"/>
    <w:rsid w:val="008E051B"/>
    <w:rsid w:val="008E41C5"/>
    <w:rsid w:val="008F0466"/>
    <w:rsid w:val="008F12BF"/>
    <w:rsid w:val="008F563A"/>
    <w:rsid w:val="00906365"/>
    <w:rsid w:val="00915A23"/>
    <w:rsid w:val="00921B49"/>
    <w:rsid w:val="00926D17"/>
    <w:rsid w:val="0093531F"/>
    <w:rsid w:val="009470FF"/>
    <w:rsid w:val="00963341"/>
    <w:rsid w:val="009731F0"/>
    <w:rsid w:val="0097526E"/>
    <w:rsid w:val="009842A5"/>
    <w:rsid w:val="0099402A"/>
    <w:rsid w:val="009A3837"/>
    <w:rsid w:val="009A46B3"/>
    <w:rsid w:val="009B0832"/>
    <w:rsid w:val="009B75D6"/>
    <w:rsid w:val="009D1720"/>
    <w:rsid w:val="009D4E4A"/>
    <w:rsid w:val="009E19F8"/>
    <w:rsid w:val="009E5485"/>
    <w:rsid w:val="009F7AA4"/>
    <w:rsid w:val="00A009AD"/>
    <w:rsid w:val="00A01C05"/>
    <w:rsid w:val="00A05FB2"/>
    <w:rsid w:val="00A12A1B"/>
    <w:rsid w:val="00A33434"/>
    <w:rsid w:val="00A37A29"/>
    <w:rsid w:val="00A419B4"/>
    <w:rsid w:val="00A55EF5"/>
    <w:rsid w:val="00A73B2E"/>
    <w:rsid w:val="00A747A9"/>
    <w:rsid w:val="00A8028F"/>
    <w:rsid w:val="00A83CF1"/>
    <w:rsid w:val="00AA2301"/>
    <w:rsid w:val="00AB1DBB"/>
    <w:rsid w:val="00AB29F7"/>
    <w:rsid w:val="00AB733D"/>
    <w:rsid w:val="00AC1D27"/>
    <w:rsid w:val="00AD35A4"/>
    <w:rsid w:val="00AD7632"/>
    <w:rsid w:val="00AE321C"/>
    <w:rsid w:val="00AE5681"/>
    <w:rsid w:val="00AE7605"/>
    <w:rsid w:val="00AF5F55"/>
    <w:rsid w:val="00B12AB0"/>
    <w:rsid w:val="00B13720"/>
    <w:rsid w:val="00B14BE7"/>
    <w:rsid w:val="00B20D75"/>
    <w:rsid w:val="00B20F51"/>
    <w:rsid w:val="00B32185"/>
    <w:rsid w:val="00B333B6"/>
    <w:rsid w:val="00B337D4"/>
    <w:rsid w:val="00B33DEF"/>
    <w:rsid w:val="00B401B0"/>
    <w:rsid w:val="00B419F6"/>
    <w:rsid w:val="00B47190"/>
    <w:rsid w:val="00B6119D"/>
    <w:rsid w:val="00B63618"/>
    <w:rsid w:val="00B64ABA"/>
    <w:rsid w:val="00B6656F"/>
    <w:rsid w:val="00B746EB"/>
    <w:rsid w:val="00B756D6"/>
    <w:rsid w:val="00B87898"/>
    <w:rsid w:val="00B901D1"/>
    <w:rsid w:val="00B9514D"/>
    <w:rsid w:val="00B95A30"/>
    <w:rsid w:val="00BA40CE"/>
    <w:rsid w:val="00BA43B1"/>
    <w:rsid w:val="00BA61A8"/>
    <w:rsid w:val="00BC487A"/>
    <w:rsid w:val="00BD3643"/>
    <w:rsid w:val="00BE34BF"/>
    <w:rsid w:val="00BF3882"/>
    <w:rsid w:val="00C020A1"/>
    <w:rsid w:val="00C073E2"/>
    <w:rsid w:val="00C1276B"/>
    <w:rsid w:val="00C26B86"/>
    <w:rsid w:val="00C453A0"/>
    <w:rsid w:val="00C54390"/>
    <w:rsid w:val="00C72244"/>
    <w:rsid w:val="00C72A34"/>
    <w:rsid w:val="00C821E7"/>
    <w:rsid w:val="00C85F91"/>
    <w:rsid w:val="00C86850"/>
    <w:rsid w:val="00CA16E9"/>
    <w:rsid w:val="00CD3DBB"/>
    <w:rsid w:val="00CD56C9"/>
    <w:rsid w:val="00CE3843"/>
    <w:rsid w:val="00CF2375"/>
    <w:rsid w:val="00D116C5"/>
    <w:rsid w:val="00D21DC9"/>
    <w:rsid w:val="00D2248B"/>
    <w:rsid w:val="00D35D21"/>
    <w:rsid w:val="00D37EB2"/>
    <w:rsid w:val="00D42291"/>
    <w:rsid w:val="00D47963"/>
    <w:rsid w:val="00D479B8"/>
    <w:rsid w:val="00D678AA"/>
    <w:rsid w:val="00D8058A"/>
    <w:rsid w:val="00D8790B"/>
    <w:rsid w:val="00D97FB2"/>
    <w:rsid w:val="00DA595F"/>
    <w:rsid w:val="00DB0455"/>
    <w:rsid w:val="00DB462B"/>
    <w:rsid w:val="00DD0BF2"/>
    <w:rsid w:val="00DE4252"/>
    <w:rsid w:val="00DF30E4"/>
    <w:rsid w:val="00E0067E"/>
    <w:rsid w:val="00E00A6A"/>
    <w:rsid w:val="00E062C9"/>
    <w:rsid w:val="00E06C88"/>
    <w:rsid w:val="00E11755"/>
    <w:rsid w:val="00E13506"/>
    <w:rsid w:val="00E139F9"/>
    <w:rsid w:val="00E14E43"/>
    <w:rsid w:val="00E15665"/>
    <w:rsid w:val="00E2407C"/>
    <w:rsid w:val="00E2507B"/>
    <w:rsid w:val="00E264C3"/>
    <w:rsid w:val="00E31115"/>
    <w:rsid w:val="00E32DE7"/>
    <w:rsid w:val="00E32EB7"/>
    <w:rsid w:val="00E518AC"/>
    <w:rsid w:val="00E637A9"/>
    <w:rsid w:val="00E670B5"/>
    <w:rsid w:val="00E731D4"/>
    <w:rsid w:val="00E875F0"/>
    <w:rsid w:val="00E97828"/>
    <w:rsid w:val="00EC1C68"/>
    <w:rsid w:val="00EC2A4F"/>
    <w:rsid w:val="00EC69DE"/>
    <w:rsid w:val="00ED62E6"/>
    <w:rsid w:val="00ED6625"/>
    <w:rsid w:val="00EE0CC1"/>
    <w:rsid w:val="00EE5362"/>
    <w:rsid w:val="00EF1861"/>
    <w:rsid w:val="00EF71F8"/>
    <w:rsid w:val="00F07256"/>
    <w:rsid w:val="00F314C5"/>
    <w:rsid w:val="00F32202"/>
    <w:rsid w:val="00F35585"/>
    <w:rsid w:val="00F36EA7"/>
    <w:rsid w:val="00F40BD1"/>
    <w:rsid w:val="00F53345"/>
    <w:rsid w:val="00F769B3"/>
    <w:rsid w:val="00F82F78"/>
    <w:rsid w:val="00F848A6"/>
    <w:rsid w:val="00F85776"/>
    <w:rsid w:val="00F8601B"/>
    <w:rsid w:val="00F91666"/>
    <w:rsid w:val="00F94A72"/>
    <w:rsid w:val="00FA1A1D"/>
    <w:rsid w:val="00FB65B7"/>
    <w:rsid w:val="00FC0759"/>
    <w:rsid w:val="00FC5CBD"/>
    <w:rsid w:val="00FD02DA"/>
    <w:rsid w:val="00FE7974"/>
    <w:rsid w:val="00FF723D"/>
    <w:rsid w:val="00FF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B27E26"/>
  <w15:docId w15:val="{056E6DFD-AE0B-4F09-B35C-EC8FB89AD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D75"/>
  </w:style>
  <w:style w:type="paragraph" w:styleId="Heading1">
    <w:name w:val="heading 1"/>
    <w:basedOn w:val="Normal"/>
    <w:next w:val="Normal"/>
    <w:link w:val="Heading1Char"/>
    <w:uiPriority w:val="9"/>
    <w:qFormat/>
    <w:rsid w:val="008775ED"/>
    <w:pPr>
      <w:keepNext/>
      <w:keepLines/>
      <w:numPr>
        <w:numId w:val="2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75ED"/>
    <w:pPr>
      <w:keepNext/>
      <w:keepLines/>
      <w:numPr>
        <w:ilvl w:val="1"/>
        <w:numId w:val="2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775ED"/>
    <w:pPr>
      <w:keepNext/>
      <w:keepLines/>
      <w:numPr>
        <w:ilvl w:val="2"/>
        <w:numId w:val="2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775ED"/>
    <w:pPr>
      <w:keepNext/>
      <w:keepLines/>
      <w:numPr>
        <w:ilvl w:val="3"/>
        <w:numId w:val="2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775ED"/>
    <w:pPr>
      <w:keepNext/>
      <w:keepLines/>
      <w:numPr>
        <w:ilvl w:val="4"/>
        <w:numId w:val="22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775ED"/>
    <w:pPr>
      <w:keepNext/>
      <w:keepLines/>
      <w:numPr>
        <w:ilvl w:val="5"/>
        <w:numId w:val="2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775ED"/>
    <w:pPr>
      <w:keepNext/>
      <w:keepLines/>
      <w:numPr>
        <w:ilvl w:val="6"/>
        <w:numId w:val="2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775ED"/>
    <w:pPr>
      <w:keepNext/>
      <w:keepLines/>
      <w:numPr>
        <w:ilvl w:val="7"/>
        <w:numId w:val="2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775ED"/>
    <w:pPr>
      <w:keepNext/>
      <w:keepLines/>
      <w:numPr>
        <w:ilvl w:val="8"/>
        <w:numId w:val="2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75ED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8775ED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775ED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775ED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775ED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775ED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775E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775E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75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775E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775ED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775ED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75ED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8775ED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8775ED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8775ED"/>
    <w:rPr>
      <w:i/>
      <w:iCs/>
      <w:color w:val="auto"/>
    </w:rPr>
  </w:style>
  <w:style w:type="paragraph" w:styleId="NoSpacing">
    <w:name w:val="No Spacing"/>
    <w:uiPriority w:val="1"/>
    <w:qFormat/>
    <w:rsid w:val="008775E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775ED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775E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775ED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775ED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8775ED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8775ED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8775ED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775ED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8775ED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8775ED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775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75ED"/>
    <w:rPr>
      <w:sz w:val="20"/>
      <w:szCs w:val="20"/>
    </w:rPr>
  </w:style>
  <w:style w:type="table" w:styleId="TableGrid">
    <w:name w:val="Table Grid"/>
    <w:basedOn w:val="TableNormal"/>
    <w:uiPriority w:val="39"/>
    <w:rsid w:val="008775ED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sid w:val="008775E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775ED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8775ED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8775ED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7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5E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8775ED"/>
    <w:pPr>
      <w:ind w:left="720"/>
      <w:contextualSpacing/>
    </w:pPr>
    <w:rPr>
      <w:rFonts w:eastAsiaTheme="minorHAnsi"/>
    </w:rPr>
  </w:style>
  <w:style w:type="paragraph" w:styleId="TOC1">
    <w:name w:val="toc 1"/>
    <w:basedOn w:val="Normal"/>
    <w:next w:val="Normal"/>
    <w:autoRedefine/>
    <w:uiPriority w:val="39"/>
    <w:unhideWhenUsed/>
    <w:rsid w:val="008775E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775ED"/>
    <w:pPr>
      <w:spacing w:after="100"/>
      <w:ind w:left="220"/>
    </w:pPr>
  </w:style>
  <w:style w:type="character" w:styleId="FollowedHyperlink">
    <w:name w:val="FollowedHyperlink"/>
    <w:basedOn w:val="DefaultParagraphFont"/>
    <w:uiPriority w:val="99"/>
    <w:semiHidden/>
    <w:unhideWhenUsed/>
    <w:rsid w:val="00C5439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76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6DB"/>
  </w:style>
  <w:style w:type="paragraph" w:styleId="Footer">
    <w:name w:val="footer"/>
    <w:basedOn w:val="Normal"/>
    <w:link w:val="FooterChar"/>
    <w:uiPriority w:val="99"/>
    <w:unhideWhenUsed/>
    <w:rsid w:val="004476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6DB"/>
  </w:style>
  <w:style w:type="character" w:styleId="CommentReference">
    <w:name w:val="annotation reference"/>
    <w:basedOn w:val="DefaultParagraphFont"/>
    <w:uiPriority w:val="99"/>
    <w:semiHidden/>
    <w:unhideWhenUsed/>
    <w:rsid w:val="00B20F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0F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0F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0F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0F5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73A0D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6F1BE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F1BE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F1BE2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07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4073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tat.gov.rs/media/2332/general-revision-policy.docx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ec.europa.eu/eurostat/documents/3859598/9530664/KS-GQ-18-012-EN-N.pdf" TargetMode="External"/><Relationship Id="rId1" Type="http://schemas.openxmlformats.org/officeDocument/2006/relationships/hyperlink" Target="https://www.cmfb.org/main-topics/revision-poli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16083-E2E0-4B9C-96AA-62669C773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1451</TotalTime>
  <Pages>10</Pages>
  <Words>2308</Words>
  <Characters>13156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PALIBRK Marijana (ESTAT)</dc:creator>
  <cp:keywords/>
  <dc:description/>
  <cp:lastModifiedBy>Danijela Dabetic</cp:lastModifiedBy>
  <cp:revision>129</cp:revision>
  <cp:lastPrinted>2023-04-04T11:02:00Z</cp:lastPrinted>
  <dcterms:created xsi:type="dcterms:W3CDTF">2022-05-09T08:06:00Z</dcterms:created>
  <dcterms:modified xsi:type="dcterms:W3CDTF">2023-08-23T09:00:00Z</dcterms:modified>
</cp:coreProperties>
</file>