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407E" w14:textId="53186751" w:rsidR="006F5FD0" w:rsidRPr="00B33EE6" w:rsidRDefault="006F5FD0">
      <w:pPr>
        <w:jc w:val="center"/>
        <w:rPr>
          <w:rStyle w:val="Strong"/>
          <w:sz w:val="28"/>
          <w:szCs w:val="28"/>
          <w:lang w:val="en-GB"/>
        </w:rPr>
      </w:pPr>
      <w:r w:rsidRPr="00B33EE6">
        <w:rPr>
          <w:b/>
          <w:sz w:val="28"/>
          <w:szCs w:val="28"/>
          <w:lang w:val="en-GB"/>
        </w:rPr>
        <w:t>S</w:t>
      </w:r>
      <w:r w:rsidR="00DE3C11">
        <w:rPr>
          <w:b/>
          <w:sz w:val="28"/>
          <w:szCs w:val="28"/>
          <w:lang w:val="en-GB"/>
        </w:rPr>
        <w:t>UPPLY</w:t>
      </w:r>
      <w:r w:rsidRPr="00B33EE6">
        <w:rPr>
          <w:b/>
          <w:sz w:val="28"/>
          <w:szCs w:val="28"/>
          <w:lang w:val="en-GB"/>
        </w:rPr>
        <w:t xml:space="preserve"> </w:t>
      </w:r>
      <w:r w:rsidR="00FA17FC" w:rsidRPr="00B33EE6">
        <w:rPr>
          <w:b/>
          <w:sz w:val="28"/>
          <w:szCs w:val="28"/>
          <w:lang w:val="en-GB"/>
        </w:rPr>
        <w:t xml:space="preserve">CONTRACT </w:t>
      </w:r>
      <w:r w:rsidRPr="00B33EE6">
        <w:rPr>
          <w:b/>
          <w:sz w:val="28"/>
          <w:szCs w:val="28"/>
          <w:lang w:val="en-GB"/>
        </w:rPr>
        <w:t>NOTICE</w:t>
      </w:r>
    </w:p>
    <w:p w14:paraId="3363FF0F" w14:textId="6260DFD9" w:rsidR="006F5FD0" w:rsidRPr="009E65BC" w:rsidRDefault="00C826C2">
      <w:pPr>
        <w:jc w:val="center"/>
        <w:rPr>
          <w:b/>
          <w:bCs/>
          <w:szCs w:val="24"/>
          <w:lang w:val="en-GB"/>
        </w:rPr>
      </w:pPr>
      <w:r w:rsidRPr="009E65BC">
        <w:rPr>
          <w:rStyle w:val="Strong"/>
          <w:b w:val="0"/>
          <w:bCs/>
          <w:szCs w:val="24"/>
          <w:lang w:val="en-GB"/>
        </w:rPr>
        <w:t xml:space="preserve">Procurement </w:t>
      </w:r>
      <w:r w:rsidR="009E65BC" w:rsidRPr="009E65BC">
        <w:rPr>
          <w:rStyle w:val="Strong"/>
          <w:b w:val="0"/>
          <w:bCs/>
          <w:szCs w:val="24"/>
          <w:lang w:val="en-GB"/>
        </w:rPr>
        <w:t>of Datacentre</w:t>
      </w:r>
      <w:r w:rsidR="009E6C76" w:rsidRPr="009E65BC">
        <w:rPr>
          <w:rStyle w:val="Strong"/>
          <w:b w:val="0"/>
          <w:bCs/>
          <w:szCs w:val="24"/>
          <w:lang w:val="en-GB"/>
        </w:rPr>
        <w:t xml:space="preserve"> Servers - Rack Server – 4 nodes</w:t>
      </w:r>
      <w:r w:rsidR="009E65BC" w:rsidRPr="009E65BC">
        <w:rPr>
          <w:rStyle w:val="Strong"/>
          <w:b w:val="0"/>
          <w:bCs/>
          <w:szCs w:val="24"/>
          <w:lang w:val="en-GB"/>
        </w:rPr>
        <w:t>,</w:t>
      </w:r>
      <w:r w:rsidR="009E6C76" w:rsidRPr="009E65BC">
        <w:rPr>
          <w:rStyle w:val="Strong"/>
          <w:b w:val="0"/>
          <w:bCs/>
          <w:szCs w:val="24"/>
          <w:lang w:val="en-GB"/>
        </w:rPr>
        <w:t xml:space="preserve"> </w:t>
      </w:r>
      <w:r w:rsidR="006F5FD0" w:rsidRPr="009E65BC">
        <w:rPr>
          <w:rStyle w:val="Strong"/>
          <w:b w:val="0"/>
          <w:bCs/>
          <w:szCs w:val="24"/>
          <w:lang w:val="en-GB"/>
        </w:rPr>
        <w:t xml:space="preserve">Location </w:t>
      </w:r>
      <w:r w:rsidRPr="009E65BC">
        <w:rPr>
          <w:rStyle w:val="Strong"/>
          <w:b w:val="0"/>
          <w:bCs/>
          <w:szCs w:val="24"/>
          <w:lang w:val="en-GB"/>
        </w:rPr>
        <w:t>–</w:t>
      </w:r>
      <w:r w:rsidR="006F5FD0" w:rsidRPr="009E65BC">
        <w:rPr>
          <w:rStyle w:val="Strong"/>
          <w:b w:val="0"/>
          <w:bCs/>
          <w:szCs w:val="24"/>
          <w:lang w:val="en-GB"/>
        </w:rPr>
        <w:t xml:space="preserve"> </w:t>
      </w:r>
      <w:r w:rsidRPr="009E65BC">
        <w:rPr>
          <w:rStyle w:val="Emphasis"/>
          <w:i w:val="0"/>
          <w:szCs w:val="24"/>
          <w:lang w:val="en-GB"/>
        </w:rPr>
        <w:t>Belgrade/Serbia</w:t>
      </w:r>
      <w:r w:rsidR="006F5FD0" w:rsidRPr="009E65BC">
        <w:rPr>
          <w:rStyle w:val="Emphasis"/>
          <w:b/>
          <w:bCs/>
          <w:i w:val="0"/>
          <w:szCs w:val="24"/>
          <w:lang w:val="en-GB"/>
        </w:rPr>
        <w:t xml:space="preserve"> </w:t>
      </w:r>
    </w:p>
    <w:p w14:paraId="053CF889" w14:textId="1BDF6174" w:rsidR="00DE3C11" w:rsidRPr="009E65BC" w:rsidRDefault="00DE3C11" w:rsidP="00C826C2">
      <w:pPr>
        <w:outlineLvl w:val="0"/>
        <w:rPr>
          <w:rStyle w:val="Strong"/>
          <w:b w:val="0"/>
          <w:bCs/>
          <w:szCs w:val="24"/>
          <w:lang w:val="en-GB"/>
        </w:rPr>
      </w:pPr>
    </w:p>
    <w:p w14:paraId="1E3CC1C3" w14:textId="77777777" w:rsidR="00571687" w:rsidRPr="00B33EE6" w:rsidRDefault="00571687" w:rsidP="00584BF4">
      <w:pPr>
        <w:ind w:left="709" w:hanging="349"/>
        <w:outlineLvl w:val="0"/>
        <w:rPr>
          <w:rStyle w:val="Strong"/>
          <w:sz w:val="22"/>
          <w:szCs w:val="22"/>
          <w:lang w:val="en-GB"/>
        </w:rPr>
      </w:pPr>
    </w:p>
    <w:p w14:paraId="1BE20B1E"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4012C35C" w:rsidR="006F5FD0" w:rsidRPr="00B33EE6" w:rsidRDefault="00C826C2">
      <w:pPr>
        <w:pStyle w:val="Blockquote"/>
        <w:rPr>
          <w:i/>
          <w:sz w:val="22"/>
          <w:szCs w:val="22"/>
          <w:lang w:val="en-GB"/>
        </w:rPr>
      </w:pPr>
      <w:r>
        <w:rPr>
          <w:rStyle w:val="Emphasis"/>
          <w:i w:val="0"/>
          <w:sz w:val="22"/>
          <w:szCs w:val="22"/>
          <w:lang w:val="en-GB"/>
        </w:rPr>
        <w:t>0</w:t>
      </w:r>
      <w:r w:rsidR="009E65BC">
        <w:rPr>
          <w:rStyle w:val="Emphasis"/>
          <w:i w:val="0"/>
          <w:sz w:val="22"/>
          <w:szCs w:val="22"/>
          <w:lang w:val="en-GB"/>
        </w:rPr>
        <w:t>20</w:t>
      </w:r>
      <w:r>
        <w:rPr>
          <w:rStyle w:val="Emphasis"/>
          <w:i w:val="0"/>
          <w:sz w:val="22"/>
          <w:szCs w:val="22"/>
          <w:lang w:val="en-GB"/>
        </w:rPr>
        <w:t>/2025</w:t>
      </w:r>
      <w:r w:rsidR="006F5FD0" w:rsidRPr="00B33EE6">
        <w:rPr>
          <w:rStyle w:val="Emphasis"/>
          <w:i w:val="0"/>
          <w:sz w:val="22"/>
          <w:szCs w:val="22"/>
          <w:lang w:val="en-GB"/>
        </w:rPr>
        <w:t xml:space="preserve"> </w:t>
      </w:r>
    </w:p>
    <w:p w14:paraId="7A3797D8"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5B815E21" w:rsidR="006F5FD0" w:rsidRPr="00B33EE6" w:rsidRDefault="00AD1E4D" w:rsidP="00C867B9">
      <w:pPr>
        <w:pStyle w:val="Blockquote"/>
        <w:ind w:left="0"/>
        <w:jc w:val="both"/>
        <w:rPr>
          <w:sz w:val="22"/>
          <w:szCs w:val="22"/>
          <w:lang w:val="en-GB"/>
        </w:rPr>
      </w:pPr>
      <w:r w:rsidRPr="00C826C2">
        <w:rPr>
          <w:sz w:val="22"/>
          <w:szCs w:val="22"/>
          <w:lang w:val="en-GB"/>
        </w:rPr>
        <w:t xml:space="preserve">  </w:t>
      </w:r>
      <w:r w:rsidR="00907B17">
        <w:rPr>
          <w:sz w:val="22"/>
          <w:szCs w:val="22"/>
          <w:lang w:val="en-GB"/>
        </w:rPr>
        <w:t xml:space="preserve">    </w:t>
      </w:r>
      <w:r w:rsidRPr="00C826C2">
        <w:rPr>
          <w:sz w:val="22"/>
          <w:szCs w:val="22"/>
          <w:lang w:val="en-GB"/>
        </w:rPr>
        <w:t xml:space="preserve"> </w:t>
      </w:r>
      <w:r w:rsidR="009E65BC">
        <w:rPr>
          <w:sz w:val="22"/>
          <w:szCs w:val="22"/>
          <w:lang w:val="en-GB"/>
        </w:rPr>
        <w:t>Local open tender procedure</w:t>
      </w:r>
    </w:p>
    <w:p w14:paraId="5F51B1AE"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23441960" w:rsidR="00971962" w:rsidRPr="00B33EE6" w:rsidRDefault="00971962" w:rsidP="00B33EE6">
      <w:pPr>
        <w:pStyle w:val="PRAGHeading2"/>
        <w:numPr>
          <w:ilvl w:val="0"/>
          <w:numId w:val="0"/>
        </w:numPr>
        <w:ind w:left="357" w:right="357"/>
        <w:rPr>
          <w:lang w:val="en-GB"/>
        </w:rPr>
      </w:pPr>
      <w:r w:rsidRPr="00B33EE6">
        <w:rPr>
          <w:lang w:val="en-GB"/>
        </w:rPr>
        <w:t xml:space="preserve"> </w:t>
      </w:r>
      <w:r w:rsidR="00C826C2" w:rsidRPr="00C826C2">
        <w:rPr>
          <w:rStyle w:val="Emphasis"/>
          <w:i w:val="0"/>
          <w:sz w:val="22"/>
          <w:szCs w:val="22"/>
          <w:lang w:val="en-GB"/>
        </w:rPr>
        <w:t>IPA 2022 statistical cooperation programme, EU4SORS: Development of modern statistical system.</w:t>
      </w:r>
    </w:p>
    <w:p w14:paraId="797EC4D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33E45E05" w:rsidR="00502217" w:rsidRPr="00B33EE6" w:rsidRDefault="00722744" w:rsidP="00502217">
      <w:pPr>
        <w:pStyle w:val="Blockquote"/>
        <w:jc w:val="both"/>
        <w:rPr>
          <w:sz w:val="22"/>
          <w:szCs w:val="22"/>
          <w:lang w:val="en-GB"/>
        </w:rPr>
      </w:pPr>
      <w:r w:rsidRPr="00722744">
        <w:rPr>
          <w:rStyle w:val="Emphasis"/>
          <w:i w:val="0"/>
          <w:sz w:val="22"/>
          <w:szCs w:val="22"/>
          <w:lang w:val="en-GB"/>
        </w:rPr>
        <w:t>Grant Contract No: PC-25796 2024/461-466, EU4SORS: Development of modern statistical system-IPA 2022</w:t>
      </w:r>
    </w:p>
    <w:p w14:paraId="03ED8384"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248CB79A" w14:textId="68771991" w:rsidR="00C826C2" w:rsidRPr="00C826C2" w:rsidRDefault="00C826C2" w:rsidP="00C826C2">
      <w:pPr>
        <w:ind w:left="357" w:right="357"/>
        <w:jc w:val="both"/>
        <w:rPr>
          <w:rStyle w:val="Emphasis"/>
          <w:i w:val="0"/>
          <w:sz w:val="22"/>
          <w:szCs w:val="22"/>
          <w:lang w:val="en-GB"/>
        </w:rPr>
      </w:pPr>
      <w:r w:rsidRPr="00C826C2">
        <w:rPr>
          <w:rStyle w:val="Emphasis"/>
          <w:i w:val="0"/>
          <w:sz w:val="22"/>
          <w:szCs w:val="22"/>
          <w:lang w:val="en-GB"/>
        </w:rPr>
        <w:t xml:space="preserve">Official name:  Statistical Office of the Republic of Serbia </w:t>
      </w:r>
    </w:p>
    <w:p w14:paraId="456C571A" w14:textId="77777777" w:rsidR="00C826C2" w:rsidRPr="00C826C2" w:rsidRDefault="00C826C2" w:rsidP="00C826C2">
      <w:pPr>
        <w:ind w:left="357" w:right="357"/>
        <w:jc w:val="both"/>
        <w:rPr>
          <w:rStyle w:val="Emphasis"/>
          <w:i w:val="0"/>
          <w:sz w:val="22"/>
          <w:szCs w:val="22"/>
          <w:lang w:val="en-GB"/>
        </w:rPr>
      </w:pPr>
      <w:r w:rsidRPr="00C826C2">
        <w:rPr>
          <w:rStyle w:val="Emphasis"/>
          <w:i w:val="0"/>
          <w:sz w:val="22"/>
          <w:szCs w:val="22"/>
          <w:lang w:val="en-GB"/>
        </w:rPr>
        <w:t xml:space="preserve">Postal address: Milana </w:t>
      </w:r>
      <w:proofErr w:type="spellStart"/>
      <w:r w:rsidRPr="00C826C2">
        <w:rPr>
          <w:rStyle w:val="Emphasis"/>
          <w:i w:val="0"/>
          <w:sz w:val="22"/>
          <w:szCs w:val="22"/>
          <w:lang w:val="en-GB"/>
        </w:rPr>
        <w:t>Rakića</w:t>
      </w:r>
      <w:proofErr w:type="spellEnd"/>
      <w:r w:rsidRPr="00C826C2">
        <w:rPr>
          <w:rStyle w:val="Emphasis"/>
          <w:i w:val="0"/>
          <w:sz w:val="22"/>
          <w:szCs w:val="22"/>
          <w:lang w:val="en-GB"/>
        </w:rPr>
        <w:t xml:space="preserve"> 5</w:t>
      </w:r>
    </w:p>
    <w:p w14:paraId="68565736" w14:textId="77777777" w:rsidR="00C826C2" w:rsidRPr="00C826C2" w:rsidRDefault="00C826C2" w:rsidP="00C826C2">
      <w:pPr>
        <w:ind w:left="357" w:right="357"/>
        <w:jc w:val="both"/>
        <w:rPr>
          <w:rStyle w:val="Emphasis"/>
          <w:i w:val="0"/>
          <w:sz w:val="22"/>
          <w:szCs w:val="22"/>
          <w:lang w:val="en-GB"/>
        </w:rPr>
      </w:pPr>
      <w:r w:rsidRPr="00C826C2">
        <w:rPr>
          <w:rStyle w:val="Emphasis"/>
          <w:i w:val="0"/>
          <w:sz w:val="22"/>
          <w:szCs w:val="22"/>
          <w:lang w:val="en-GB"/>
        </w:rPr>
        <w:t>Town: Belgrade</w:t>
      </w:r>
    </w:p>
    <w:p w14:paraId="535C997E" w14:textId="77777777" w:rsidR="00C826C2" w:rsidRPr="00C826C2" w:rsidRDefault="00C826C2" w:rsidP="00C826C2">
      <w:pPr>
        <w:ind w:left="357" w:right="357"/>
        <w:jc w:val="both"/>
        <w:rPr>
          <w:rStyle w:val="Emphasis"/>
          <w:i w:val="0"/>
          <w:sz w:val="22"/>
          <w:szCs w:val="22"/>
          <w:lang w:val="en-GB"/>
        </w:rPr>
      </w:pPr>
      <w:r w:rsidRPr="00C826C2">
        <w:rPr>
          <w:rStyle w:val="Emphasis"/>
          <w:i w:val="0"/>
          <w:sz w:val="22"/>
          <w:szCs w:val="22"/>
          <w:lang w:val="en-GB"/>
        </w:rPr>
        <w:t>Postal Code: 11000</w:t>
      </w:r>
    </w:p>
    <w:p w14:paraId="22795FAD" w14:textId="77777777" w:rsidR="00C826C2" w:rsidRPr="00C826C2" w:rsidRDefault="00C826C2" w:rsidP="00C826C2">
      <w:pPr>
        <w:ind w:left="357" w:right="357"/>
        <w:jc w:val="both"/>
        <w:rPr>
          <w:rStyle w:val="Emphasis"/>
          <w:i w:val="0"/>
          <w:sz w:val="22"/>
          <w:szCs w:val="22"/>
          <w:lang w:val="en-GB"/>
        </w:rPr>
      </w:pPr>
      <w:r w:rsidRPr="00C826C2">
        <w:rPr>
          <w:rStyle w:val="Emphasis"/>
          <w:i w:val="0"/>
          <w:sz w:val="22"/>
          <w:szCs w:val="22"/>
          <w:lang w:val="en-GB"/>
        </w:rPr>
        <w:t>E-mail: stat@stat.gov.rs</w:t>
      </w:r>
    </w:p>
    <w:p w14:paraId="2259BEAD" w14:textId="0D33EB87" w:rsidR="006F5FD0" w:rsidRDefault="00C826C2" w:rsidP="00C826C2">
      <w:pPr>
        <w:ind w:left="357" w:right="357"/>
        <w:jc w:val="both"/>
        <w:rPr>
          <w:rStyle w:val="Emphasis"/>
          <w:i w:val="0"/>
          <w:sz w:val="22"/>
          <w:szCs w:val="22"/>
          <w:lang w:val="en-GB"/>
        </w:rPr>
      </w:pPr>
      <w:r w:rsidRPr="00C826C2">
        <w:rPr>
          <w:rStyle w:val="Emphasis"/>
          <w:i w:val="0"/>
          <w:sz w:val="22"/>
          <w:szCs w:val="22"/>
          <w:lang w:val="en-GB"/>
        </w:rPr>
        <w:t>Internet address: www.stat.gov.rs</w:t>
      </w:r>
    </w:p>
    <w:p w14:paraId="67F4A905" w14:textId="77777777" w:rsidR="006F5FD0" w:rsidRPr="00B33EE6" w:rsidRDefault="00000000">
      <w:pPr>
        <w:rPr>
          <w:sz w:val="22"/>
          <w:szCs w:val="22"/>
          <w:lang w:val="en-GB"/>
        </w:rPr>
      </w:pPr>
      <w:r>
        <w:rPr>
          <w:snapToGrid/>
          <w:sz w:val="22"/>
          <w:szCs w:val="22"/>
          <w:lang w:val="en-GB"/>
        </w:rPr>
        <w:pict w14:anchorId="589D319E">
          <v:line id="_x0000_s2051" style="position:absolute;z-index:1" from="0,12pt" to="468pt,12.05pt" o:allowincell="f" strokecolor="#d4d4d4" strokeweight="1.75pt">
            <v:shadow on="t" origin=",32385f" offset="0,-1pt"/>
          </v:line>
        </w:pict>
      </w:r>
    </w:p>
    <w:p w14:paraId="30050B2B"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34E3C2FA" w:rsidR="006F5FD0" w:rsidRPr="00B33EE6" w:rsidRDefault="008A1184">
      <w:pPr>
        <w:pStyle w:val="Blockquote"/>
        <w:jc w:val="both"/>
        <w:rPr>
          <w:i/>
          <w:sz w:val="22"/>
          <w:szCs w:val="22"/>
          <w:lang w:val="en-GB"/>
        </w:rPr>
      </w:pPr>
      <w:r>
        <w:rPr>
          <w:rStyle w:val="Emphasis"/>
          <w:i w:val="0"/>
          <w:sz w:val="22"/>
          <w:szCs w:val="22"/>
          <w:lang w:val="en-GB"/>
        </w:rPr>
        <w:t xml:space="preserve"> </w:t>
      </w:r>
      <w:r w:rsidRPr="00722744">
        <w:rPr>
          <w:rStyle w:val="Emphasis"/>
          <w:i w:val="0"/>
          <w:sz w:val="22"/>
          <w:szCs w:val="22"/>
          <w:lang w:val="en-GB"/>
        </w:rPr>
        <w:t>lump sum</w:t>
      </w:r>
    </w:p>
    <w:p w14:paraId="1879C6BF" w14:textId="77777777"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07B0607F" w14:textId="4ADFB639" w:rsidR="00686203" w:rsidRPr="00686203" w:rsidRDefault="006F5FD0" w:rsidP="00686203">
      <w:pPr>
        <w:pStyle w:val="Blockquote"/>
        <w:jc w:val="both"/>
        <w:rPr>
          <w:rStyle w:val="Emphasis"/>
          <w:i w:val="0"/>
          <w:sz w:val="22"/>
          <w:szCs w:val="22"/>
          <w:lang w:val="en-GB"/>
        </w:rPr>
      </w:pPr>
      <w:r w:rsidRPr="00B33EE6">
        <w:rPr>
          <w:rStyle w:val="Emphasis"/>
          <w:i w:val="0"/>
          <w:sz w:val="22"/>
          <w:szCs w:val="22"/>
          <w:lang w:val="en-GB"/>
        </w:rPr>
        <w:t xml:space="preserve"> </w:t>
      </w:r>
      <w:r w:rsidR="00686203" w:rsidRPr="00686203">
        <w:rPr>
          <w:rStyle w:val="Emphasis"/>
          <w:i w:val="0"/>
          <w:sz w:val="22"/>
          <w:szCs w:val="22"/>
          <w:lang w:val="en-GB"/>
        </w:rPr>
        <w:t xml:space="preserve">This procurement include: </w:t>
      </w:r>
    </w:p>
    <w:p w14:paraId="1472A6DB" w14:textId="14EE57A7" w:rsidR="00686203" w:rsidRPr="00686203" w:rsidRDefault="00686203" w:rsidP="00686203">
      <w:pPr>
        <w:pStyle w:val="Blockquote"/>
        <w:jc w:val="both"/>
        <w:rPr>
          <w:rStyle w:val="Emphasis"/>
          <w:i w:val="0"/>
          <w:sz w:val="22"/>
          <w:szCs w:val="22"/>
          <w:lang w:val="en-GB"/>
        </w:rPr>
      </w:pPr>
      <w:r w:rsidRPr="00686203">
        <w:rPr>
          <w:rStyle w:val="Emphasis"/>
          <w:i w:val="0"/>
          <w:sz w:val="22"/>
          <w:szCs w:val="22"/>
          <w:lang w:val="en-GB"/>
        </w:rPr>
        <w:t>1.</w:t>
      </w:r>
      <w:r w:rsidRPr="00686203">
        <w:rPr>
          <w:rStyle w:val="Emphasis"/>
          <w:i w:val="0"/>
          <w:sz w:val="22"/>
          <w:szCs w:val="22"/>
          <w:lang w:val="en-GB"/>
        </w:rPr>
        <w:tab/>
      </w:r>
      <w:r w:rsidR="009E65BC" w:rsidRPr="009E65BC">
        <w:rPr>
          <w:rStyle w:val="Emphasis"/>
          <w:i w:val="0"/>
          <w:sz w:val="22"/>
          <w:szCs w:val="22"/>
          <w:lang w:val="en-GB"/>
        </w:rPr>
        <w:t>Datacentre Servers - Rack Server – 4 nodes</w:t>
      </w:r>
      <w:r w:rsidR="009E65BC">
        <w:rPr>
          <w:rStyle w:val="Emphasis"/>
          <w:i w:val="0"/>
          <w:sz w:val="22"/>
          <w:szCs w:val="22"/>
          <w:lang w:val="en-GB"/>
        </w:rPr>
        <w:t xml:space="preserve"> system</w:t>
      </w:r>
      <w:r w:rsidRPr="00686203">
        <w:rPr>
          <w:rStyle w:val="Emphasis"/>
          <w:i w:val="0"/>
          <w:sz w:val="22"/>
          <w:szCs w:val="22"/>
          <w:lang w:val="en-GB"/>
        </w:rPr>
        <w:t xml:space="preserve">, </w:t>
      </w:r>
      <w:r w:rsidR="009E65BC">
        <w:rPr>
          <w:rStyle w:val="Emphasis"/>
          <w:i w:val="0"/>
          <w:sz w:val="22"/>
          <w:szCs w:val="22"/>
          <w:lang w:val="en-GB"/>
        </w:rPr>
        <w:t>1</w:t>
      </w:r>
      <w:r w:rsidRPr="00686203">
        <w:rPr>
          <w:rStyle w:val="Emphasis"/>
          <w:i w:val="0"/>
          <w:sz w:val="22"/>
          <w:szCs w:val="22"/>
          <w:lang w:val="en-GB"/>
        </w:rPr>
        <w:t xml:space="preserve"> </w:t>
      </w:r>
      <w:proofErr w:type="gramStart"/>
      <w:r w:rsidRPr="00686203">
        <w:rPr>
          <w:rStyle w:val="Emphasis"/>
          <w:i w:val="0"/>
          <w:sz w:val="22"/>
          <w:szCs w:val="22"/>
          <w:lang w:val="en-GB"/>
        </w:rPr>
        <w:t>pcs</w:t>
      </w:r>
      <w:proofErr w:type="gramEnd"/>
    </w:p>
    <w:p w14:paraId="12CA4C8E" w14:textId="52DF4A46" w:rsidR="006F5FD0" w:rsidRPr="00B33EE6" w:rsidRDefault="006F5FD0" w:rsidP="00686203">
      <w:pPr>
        <w:pStyle w:val="Blockquote"/>
        <w:jc w:val="both"/>
        <w:rPr>
          <w:i/>
          <w:sz w:val="22"/>
          <w:szCs w:val="22"/>
          <w:lang w:val="en-GB"/>
        </w:rPr>
      </w:pPr>
    </w:p>
    <w:p w14:paraId="75E79BC7"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lastRenderedPageBreak/>
        <w:t xml:space="preserve">8. </w:t>
      </w:r>
      <w:r w:rsidR="00584BF4" w:rsidRPr="00B33EE6">
        <w:rPr>
          <w:rStyle w:val="Strong"/>
          <w:sz w:val="22"/>
          <w:szCs w:val="22"/>
          <w:lang w:val="en-GB"/>
        </w:rPr>
        <w:tab/>
      </w:r>
      <w:r w:rsidRPr="00B33EE6">
        <w:rPr>
          <w:rStyle w:val="Strong"/>
          <w:sz w:val="22"/>
          <w:szCs w:val="22"/>
          <w:lang w:val="en-GB"/>
        </w:rPr>
        <w:t>Number and titles of lots</w:t>
      </w:r>
    </w:p>
    <w:p w14:paraId="51502A56" w14:textId="5D551E58" w:rsidR="00E9047D" w:rsidRPr="00B33EE6" w:rsidRDefault="00364564" w:rsidP="00584BF4">
      <w:pPr>
        <w:ind w:left="709" w:hanging="349"/>
        <w:outlineLvl w:val="0"/>
        <w:rPr>
          <w:rStyle w:val="Emphasis"/>
          <w:i w:val="0"/>
          <w:sz w:val="22"/>
          <w:szCs w:val="22"/>
          <w:lang w:val="en-GB"/>
        </w:rPr>
      </w:pPr>
      <w:r w:rsidRPr="00722744">
        <w:rPr>
          <w:rStyle w:val="Emphasis"/>
          <w:i w:val="0"/>
          <w:sz w:val="22"/>
          <w:szCs w:val="22"/>
          <w:lang w:val="en-GB"/>
        </w:rPr>
        <w:t>O</w:t>
      </w:r>
      <w:r w:rsidR="00DA0ABA" w:rsidRPr="00722744">
        <w:rPr>
          <w:rStyle w:val="Emphasis"/>
          <w:i w:val="0"/>
          <w:sz w:val="22"/>
          <w:szCs w:val="22"/>
          <w:lang w:val="en-GB"/>
        </w:rPr>
        <w:t>ne lot only</w:t>
      </w:r>
    </w:p>
    <w:p w14:paraId="39BB965D" w14:textId="2A43C35B" w:rsidR="00971962" w:rsidRPr="00B33EE6" w:rsidRDefault="00971962" w:rsidP="008660AD">
      <w:pPr>
        <w:ind w:left="709" w:hanging="349"/>
        <w:outlineLvl w:val="0"/>
        <w:rPr>
          <w:sz w:val="22"/>
          <w:szCs w:val="22"/>
          <w:highlight w:val="yellow"/>
          <w:lang w:val="en-GB"/>
        </w:rPr>
      </w:pPr>
    </w:p>
    <w:p w14:paraId="6C843D95" w14:textId="77777777" w:rsidR="006F5FD0" w:rsidRPr="00B33EE6" w:rsidRDefault="00000000">
      <w:pPr>
        <w:pStyle w:val="Blockquote"/>
        <w:jc w:val="both"/>
        <w:rPr>
          <w:sz w:val="22"/>
          <w:szCs w:val="22"/>
          <w:lang w:val="en-GB"/>
        </w:rPr>
      </w:pPr>
      <w:r>
        <w:rPr>
          <w:snapToGrid/>
          <w:sz w:val="22"/>
          <w:szCs w:val="22"/>
          <w:lang w:val="en-GB"/>
        </w:rPr>
        <w:pict w14:anchorId="21854D6C">
          <v:line id="_x0000_s2052" style="position:absolute;left:0;text-align:left;z-index:2" from="-1.05pt,17.55pt" to="466.95pt,17.6pt" o:allowincell="f" strokecolor="#d4d4d4" strokeweight="1.75pt">
            <v:shadow on="t" origin=",32385f" offset="0,-1pt"/>
          </v:line>
        </w:pict>
      </w:r>
    </w:p>
    <w:p w14:paraId="283B6821"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2CB5FCF7" w14:textId="3936862F" w:rsidR="00B9793F" w:rsidRDefault="008E3FF2" w:rsidP="008660AD">
      <w:pPr>
        <w:pStyle w:val="FootnoteText"/>
        <w:ind w:firstLine="426"/>
        <w:rPr>
          <w:rStyle w:val="Strong"/>
          <w:sz w:val="22"/>
          <w:szCs w:val="22"/>
          <w:lang w:val="en-GB"/>
        </w:rPr>
      </w:pPr>
      <w:r>
        <w:rPr>
          <w:rStyle w:val="Strong"/>
          <w:sz w:val="22"/>
          <w:szCs w:val="22"/>
          <w:lang w:val="en-GB"/>
        </w:rPr>
        <w:t>9</w:t>
      </w:r>
      <w:r w:rsidR="00B9793F">
        <w:rPr>
          <w:rStyle w:val="Strong"/>
          <w:sz w:val="22"/>
          <w:szCs w:val="22"/>
          <w:lang w:val="en-GB"/>
        </w:rPr>
        <w:t xml:space="preserve">. </w:t>
      </w:r>
      <w:r w:rsidR="00B9793F" w:rsidRPr="00D97139">
        <w:rPr>
          <w:rStyle w:val="Strong"/>
          <w:sz w:val="22"/>
          <w:szCs w:val="22"/>
          <w:lang w:val="en-GB"/>
        </w:rPr>
        <w:t>Legal basis, eligibility and rules of origin</w:t>
      </w:r>
    </w:p>
    <w:p w14:paraId="2230EC53" w14:textId="77777777" w:rsidR="008E3FF2" w:rsidRDefault="008E3FF2" w:rsidP="008660AD">
      <w:pPr>
        <w:pStyle w:val="FootnoteText"/>
        <w:ind w:firstLine="426"/>
        <w:rPr>
          <w:rStyle w:val="Strong"/>
          <w:sz w:val="22"/>
          <w:szCs w:val="22"/>
          <w:lang w:val="en-GB"/>
        </w:rPr>
      </w:pPr>
    </w:p>
    <w:p w14:paraId="048E4E8B" w14:textId="77777777" w:rsidR="008E3FF2" w:rsidRPr="003C5E13" w:rsidRDefault="008E3FF2" w:rsidP="008E3FF2">
      <w:pPr>
        <w:pStyle w:val="paragraph"/>
        <w:spacing w:before="0" w:beforeAutospacing="0" w:after="0" w:afterAutospacing="0"/>
        <w:ind w:left="426"/>
        <w:jc w:val="both"/>
        <w:textAlignment w:val="baseline"/>
        <w:rPr>
          <w:rFonts w:ascii="Segoe UI" w:hAnsi="Segoe UI" w:cs="Segoe UI"/>
          <w:sz w:val="22"/>
          <w:szCs w:val="22"/>
          <w:lang w:val="en-GB"/>
        </w:rPr>
      </w:pPr>
      <w:r w:rsidRPr="003C5E13">
        <w:rPr>
          <w:iCs/>
          <w:sz w:val="22"/>
          <w:szCs w:val="22"/>
          <w:lang w:val="en-IE"/>
        </w:rPr>
        <w:t xml:space="preserve">The legal basis of this procedure is Regulation (EU) No [2021/1529] establishing the Instrument for Pre-accession Assistance IPA III. </w:t>
      </w:r>
    </w:p>
    <w:p w14:paraId="6267D401" w14:textId="29F7EAA9" w:rsidR="008E3FF2" w:rsidRPr="003C5E13" w:rsidRDefault="008E3FF2" w:rsidP="008E3FF2">
      <w:pPr>
        <w:pStyle w:val="paragraph"/>
        <w:spacing w:before="0" w:beforeAutospacing="0" w:after="0" w:afterAutospacing="0"/>
        <w:ind w:left="426"/>
        <w:jc w:val="both"/>
        <w:textAlignment w:val="baseline"/>
        <w:rPr>
          <w:iCs/>
          <w:sz w:val="22"/>
          <w:szCs w:val="22"/>
          <w:lang w:val="en-IE"/>
        </w:rPr>
      </w:pPr>
      <w:r w:rsidRPr="003C5E13">
        <w:rPr>
          <w:iCs/>
          <w:sz w:val="22"/>
          <w:szCs w:val="22"/>
          <w:lang w:val="en-IE"/>
        </w:rPr>
        <w:t xml:space="preserve">For this contract award procedure, 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11 of Regulation (EU) No [2021/1529]  establishing the Instrument for Pre-accession Assistance (IPA III). </w:t>
      </w:r>
      <w:r w:rsidR="00686203">
        <w:rPr>
          <w:iCs/>
          <w:sz w:val="22"/>
          <w:szCs w:val="22"/>
          <w:lang w:val="en-IE"/>
        </w:rPr>
        <w:t xml:space="preserve">Participation is also open to international </w:t>
      </w:r>
      <w:r w:rsidR="001724C5">
        <w:rPr>
          <w:iCs/>
          <w:sz w:val="22"/>
          <w:szCs w:val="22"/>
          <w:lang w:val="en-IE"/>
        </w:rPr>
        <w:t>organisations.</w:t>
      </w:r>
    </w:p>
    <w:p w14:paraId="4D8AD5AD" w14:textId="38CE2037" w:rsidR="00B9793F" w:rsidRPr="00525840" w:rsidRDefault="00B9793F" w:rsidP="008660AD">
      <w:pPr>
        <w:pStyle w:val="paragraph"/>
        <w:spacing w:before="0" w:beforeAutospacing="0" w:after="0" w:afterAutospacing="0"/>
        <w:ind w:right="270"/>
        <w:jc w:val="both"/>
        <w:textAlignment w:val="baseline"/>
        <w:rPr>
          <w:rStyle w:val="eop"/>
          <w:snapToGrid w:val="0"/>
          <w:sz w:val="22"/>
          <w:szCs w:val="22"/>
          <w:lang w:val="en-US" w:eastAsia="en-US"/>
        </w:rPr>
      </w:pPr>
    </w:p>
    <w:p w14:paraId="63522FC5" w14:textId="77777777" w:rsidR="006F5FD0" w:rsidRPr="00B33EE6" w:rsidRDefault="006F5FD0" w:rsidP="00584BF4">
      <w:pPr>
        <w:ind w:left="709" w:hanging="349"/>
        <w:outlineLvl w:val="0"/>
        <w:rPr>
          <w:sz w:val="22"/>
          <w:szCs w:val="22"/>
          <w:lang w:val="en-GB"/>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w:t>
      </w:r>
      <w:proofErr w:type="gramStart"/>
      <w:r w:rsidRPr="00B33EE6">
        <w:rPr>
          <w:sz w:val="22"/>
          <w:szCs w:val="22"/>
          <w:lang w:val="en-GB"/>
        </w:rPr>
        <w:t>In the event that</w:t>
      </w:r>
      <w:proofErr w:type="gramEnd"/>
      <w:r w:rsidRPr="00B33EE6">
        <w:rPr>
          <w:sz w:val="22"/>
          <w:szCs w:val="22"/>
          <w:lang w:val="en-GB"/>
        </w:rPr>
        <w:t xml:space="preserve">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60A454E0" w14:textId="77777777" w:rsidR="001A66C2" w:rsidRPr="00B33EE6" w:rsidRDefault="001A66C2" w:rsidP="007727F3">
      <w:pPr>
        <w:pStyle w:val="Blockquote"/>
        <w:jc w:val="both"/>
        <w:rPr>
          <w:i/>
          <w:sz w:val="22"/>
          <w:szCs w:val="22"/>
          <w:lang w:val="en-GB"/>
        </w:rPr>
      </w:pPr>
    </w:p>
    <w:p w14:paraId="7B54A5E6"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796D557F"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7275ED88"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w:t>
      </w:r>
      <w:proofErr w:type="gramStart"/>
      <w:r w:rsidR="0039147E">
        <w:rPr>
          <w:sz w:val="22"/>
          <w:szCs w:val="22"/>
          <w:lang w:val="en-GB"/>
        </w:rPr>
        <w:t>at the moment</w:t>
      </w:r>
      <w:proofErr w:type="gramEnd"/>
      <w:r w:rsidR="0039147E">
        <w:rPr>
          <w:sz w:val="22"/>
          <w:szCs w:val="22"/>
          <w:lang w:val="en-GB"/>
        </w:rPr>
        <w:t xml:space="preserve"> of the award decision cannot be awarded the contract. </w:t>
      </w:r>
    </w:p>
    <w:p w14:paraId="3126791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2690E391" w:rsidR="00E9047D"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77777777" w:rsidR="006F5FD0" w:rsidRPr="00B33EE6" w:rsidRDefault="00000000">
      <w:pPr>
        <w:keepNext/>
        <w:jc w:val="center"/>
        <w:rPr>
          <w:sz w:val="28"/>
          <w:szCs w:val="28"/>
          <w:lang w:val="en-GB"/>
        </w:rPr>
      </w:pPr>
      <w:r>
        <w:rPr>
          <w:snapToGrid/>
          <w:sz w:val="22"/>
          <w:szCs w:val="22"/>
          <w:lang w:val="en-GB"/>
        </w:rPr>
        <w:pict w14:anchorId="11F7E59B">
          <v:line id="_x0000_s2053" style="position:absolute;left:0;text-align:left;z-index:3" from="1.5pt,2.05pt" to="469.5pt,2.1pt" o:allowincell="f" strokecolor="#d4d4d4" strokeweight="1.75pt">
            <v:shadow on="t" origin=",32385f" offset="0,-1pt"/>
          </v:line>
        </w:pict>
      </w:r>
      <w:r w:rsidR="006F5FD0" w:rsidRPr="00B33EE6">
        <w:rPr>
          <w:rStyle w:val="Strong"/>
          <w:sz w:val="28"/>
          <w:szCs w:val="28"/>
          <w:lang w:val="en-GB"/>
        </w:rPr>
        <w:t>PROVISIONAL TIMETABLE</w:t>
      </w:r>
    </w:p>
    <w:p w14:paraId="669BA67B"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C4EA8E0" w14:textId="2803A6D5" w:rsidR="006F5FD0" w:rsidRPr="00B33EE6" w:rsidRDefault="009E65BC" w:rsidP="00571687">
      <w:pPr>
        <w:pStyle w:val="Blockquote"/>
        <w:jc w:val="both"/>
        <w:rPr>
          <w:i/>
          <w:sz w:val="22"/>
          <w:szCs w:val="22"/>
          <w:lang w:val="en-GB"/>
        </w:rPr>
      </w:pPr>
      <w:r>
        <w:rPr>
          <w:rStyle w:val="Emphasis"/>
          <w:i w:val="0"/>
          <w:sz w:val="22"/>
          <w:szCs w:val="22"/>
          <w:lang w:val="en-GB"/>
        </w:rPr>
        <w:t>1.</w:t>
      </w:r>
      <w:r w:rsidR="00DC00AE">
        <w:rPr>
          <w:rStyle w:val="Emphasis"/>
          <w:i w:val="0"/>
          <w:sz w:val="22"/>
          <w:szCs w:val="22"/>
          <w:lang w:val="en-GB"/>
        </w:rPr>
        <w:t>/</w:t>
      </w:r>
      <w:r>
        <w:rPr>
          <w:rStyle w:val="Emphasis"/>
          <w:i w:val="0"/>
          <w:sz w:val="22"/>
          <w:szCs w:val="22"/>
          <w:lang w:val="en-GB"/>
        </w:rPr>
        <w:t>8</w:t>
      </w:r>
      <w:r w:rsidR="00DC00AE">
        <w:rPr>
          <w:rStyle w:val="Emphasis"/>
          <w:i w:val="0"/>
          <w:sz w:val="22"/>
          <w:szCs w:val="22"/>
          <w:lang w:val="en-GB"/>
        </w:rPr>
        <w:t>/2025</w:t>
      </w:r>
    </w:p>
    <w:p w14:paraId="70B1A4AA"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6A07015F" w14:textId="764C2D02" w:rsidR="006F5FD0" w:rsidRPr="00B33EE6" w:rsidRDefault="006F5FD0" w:rsidP="00571687">
      <w:pPr>
        <w:pStyle w:val="Blockquote"/>
        <w:jc w:val="both"/>
        <w:rPr>
          <w:i/>
          <w:sz w:val="22"/>
          <w:szCs w:val="22"/>
          <w:lang w:val="en-GB"/>
        </w:rPr>
      </w:pPr>
      <w:r w:rsidRPr="008E3FF2">
        <w:rPr>
          <w:rStyle w:val="Emphasis"/>
          <w:i w:val="0"/>
          <w:sz w:val="22"/>
          <w:szCs w:val="22"/>
          <w:lang w:val="en-GB"/>
        </w:rPr>
        <w:t xml:space="preserve"> </w:t>
      </w:r>
      <w:r w:rsidR="008E3FF2" w:rsidRPr="008E3FF2">
        <w:rPr>
          <w:rStyle w:val="Emphasis"/>
          <w:i w:val="0"/>
          <w:sz w:val="22"/>
          <w:szCs w:val="22"/>
          <w:lang w:val="en-GB"/>
        </w:rPr>
        <w:t>90 Days</w:t>
      </w:r>
      <w:r w:rsidRPr="008E3FF2">
        <w:rPr>
          <w:rStyle w:val="Emphasis"/>
          <w:i w:val="0"/>
          <w:sz w:val="22"/>
          <w:szCs w:val="22"/>
          <w:lang w:val="en-GB"/>
        </w:rPr>
        <w:t xml:space="preserve"> </w:t>
      </w:r>
    </w:p>
    <w:p w14:paraId="29CC7DD8" w14:textId="77777777" w:rsidR="006F5FD0" w:rsidRPr="00B33EE6" w:rsidRDefault="00000000">
      <w:pPr>
        <w:rPr>
          <w:sz w:val="22"/>
          <w:szCs w:val="22"/>
          <w:lang w:val="en-GB"/>
        </w:rPr>
      </w:pPr>
      <w:r>
        <w:rPr>
          <w:snapToGrid/>
          <w:sz w:val="22"/>
          <w:szCs w:val="22"/>
          <w:lang w:val="en-GB"/>
        </w:rPr>
        <w:lastRenderedPageBreak/>
        <w:pict w14:anchorId="6E3015B7">
          <v:line id="_x0000_s2054" style="position:absolute;z-index:4" from="0,12pt" to="468pt,12.05pt" o:allowincell="f" strokecolor="#d4d4d4" strokeweight="1.75pt">
            <v:shadow on="t" origin=",32385f" offset="0,-1pt"/>
          </v:line>
        </w:pict>
      </w:r>
    </w:p>
    <w:p w14:paraId="25048343"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392C793B" w14:textId="2D2CD701"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7CAD1126"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Capacity-providing entities</w:t>
      </w:r>
    </w:p>
    <w:p w14:paraId="1677E155"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0C3D8B" w14:textId="77777777" w:rsidR="00831982" w:rsidRPr="00AE0634" w:rsidRDefault="00831982" w:rsidP="00831982">
      <w:pPr>
        <w:widowControl/>
        <w:spacing w:before="240" w:after="0"/>
        <w:ind w:left="426"/>
        <w:jc w:val="both"/>
        <w:rPr>
          <w:sz w:val="22"/>
          <w:szCs w:val="22"/>
          <w:lang w:val="en-GB"/>
        </w:rPr>
      </w:pPr>
      <w:proofErr w:type="gramStart"/>
      <w:r w:rsidRPr="00AE0634">
        <w:rPr>
          <w:sz w:val="22"/>
          <w:szCs w:val="22"/>
          <w:lang w:val="en-GB"/>
        </w:rPr>
        <w:t>With regard to</w:t>
      </w:r>
      <w:proofErr w:type="gramEnd"/>
      <w:r w:rsidRPr="00AE0634">
        <w:rPr>
          <w:sz w:val="22"/>
          <w:szCs w:val="22"/>
          <w:lang w:val="en-GB"/>
        </w:rPr>
        <w:t xml:space="preserve"> technical and professional criteria, an economic operator may only rely on the capacities of other entities where the latter will perform the tasks for which these capacities are required. </w:t>
      </w:r>
    </w:p>
    <w:p w14:paraId="40A1B1CC" w14:textId="77777777" w:rsidR="00831982" w:rsidRDefault="00831982" w:rsidP="00831982">
      <w:pPr>
        <w:widowControl/>
        <w:spacing w:before="240" w:after="0"/>
        <w:ind w:left="426"/>
        <w:jc w:val="both"/>
        <w:rPr>
          <w:sz w:val="22"/>
          <w:szCs w:val="22"/>
          <w:highlight w:val="yellow"/>
          <w:lang w:val="en-GB"/>
        </w:rPr>
      </w:pPr>
      <w:proofErr w:type="gramStart"/>
      <w:r w:rsidRPr="00AE0634">
        <w:rPr>
          <w:sz w:val="22"/>
          <w:szCs w:val="22"/>
          <w:lang w:val="en-GB"/>
        </w:rPr>
        <w:t>With regard to</w:t>
      </w:r>
      <w:proofErr w:type="gramEnd"/>
      <w:r w:rsidRPr="00AE0634">
        <w:rPr>
          <w:sz w:val="22"/>
          <w:szCs w:val="22"/>
          <w:lang w:val="en-GB"/>
        </w:rPr>
        <w:t xml:space="preserve"> economic and financial criteria, the entities upon whose capacity the economic operator relies, become jointly and severally liable for t</w:t>
      </w:r>
      <w:r>
        <w:rPr>
          <w:sz w:val="22"/>
          <w:szCs w:val="22"/>
          <w:lang w:val="en-GB"/>
        </w:rPr>
        <w:t>he performance of the contract.</w:t>
      </w:r>
    </w:p>
    <w:p w14:paraId="2C410C11" w14:textId="77777777" w:rsidR="00831982" w:rsidRPr="00B33EE6" w:rsidRDefault="00831982" w:rsidP="00584BF4">
      <w:pPr>
        <w:ind w:left="709" w:hanging="349"/>
        <w:outlineLvl w:val="0"/>
        <w:rPr>
          <w:sz w:val="22"/>
          <w:szCs w:val="22"/>
          <w:lang w:val="en-GB"/>
        </w:rPr>
      </w:pPr>
    </w:p>
    <w:p w14:paraId="0D716E4E" w14:textId="09857B85" w:rsidR="006F5FD0" w:rsidRPr="00B33EE6"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w:t>
      </w:r>
      <w:proofErr w:type="gramStart"/>
      <w:r w:rsidRPr="00B33EE6">
        <w:rPr>
          <w:sz w:val="22"/>
          <w:szCs w:val="22"/>
          <w:lang w:val="en-GB"/>
        </w:rPr>
        <w:t>as a whole</w:t>
      </w:r>
      <w:r w:rsidR="006751D2" w:rsidRPr="00B33EE6">
        <w:rPr>
          <w:sz w:val="22"/>
          <w:szCs w:val="22"/>
          <w:lang w:val="en-GB"/>
        </w:rPr>
        <w:t xml:space="preserve"> if</w:t>
      </w:r>
      <w:proofErr w:type="gramEnd"/>
      <w:r w:rsidR="006751D2" w:rsidRPr="00B33EE6">
        <w:rPr>
          <w:sz w:val="22"/>
          <w:szCs w:val="22"/>
          <w:lang w:val="en-GB"/>
        </w:rPr>
        <w:t xml:space="preserve"> not specified otherwise. The selection criteria will not be applied to natural persons and single-member companies when they are sub-contractors.</w:t>
      </w:r>
    </w:p>
    <w:p w14:paraId="53A16187" w14:textId="60E05DE7" w:rsidR="006F5FD0" w:rsidRDefault="006F5FD0" w:rsidP="008660AD">
      <w:pPr>
        <w:pStyle w:val="Blockquote"/>
        <w:numPr>
          <w:ilvl w:val="0"/>
          <w:numId w:val="45"/>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w:t>
      </w:r>
      <w:proofErr w:type="gramStart"/>
      <w:r w:rsidR="006751D2" w:rsidRPr="00B33EE6">
        <w:rPr>
          <w:sz w:val="22"/>
          <w:szCs w:val="22"/>
          <w:lang w:val="en-GB"/>
        </w:rPr>
        <w:t>taken into account</w:t>
      </w:r>
      <w:proofErr w:type="gramEnd"/>
      <w:r w:rsidR="006751D2" w:rsidRPr="00B33EE6">
        <w:rPr>
          <w:sz w:val="22"/>
          <w:szCs w:val="22"/>
          <w:lang w:val="en-GB"/>
        </w:rPr>
        <w:t xml:space="preserve"> will be the last three </w:t>
      </w:r>
      <w:r w:rsidR="00D51C7E">
        <w:rPr>
          <w:sz w:val="22"/>
          <w:szCs w:val="22"/>
          <w:lang w:val="en-GB"/>
        </w:rPr>
        <w:t xml:space="preserve">financial </w:t>
      </w:r>
      <w:r w:rsidR="006751D2" w:rsidRPr="00B33EE6">
        <w:rPr>
          <w:sz w:val="22"/>
          <w:szCs w:val="22"/>
          <w:lang w:val="en-GB"/>
        </w:rPr>
        <w:t>years for which accounts have been closed.</w:t>
      </w:r>
    </w:p>
    <w:p w14:paraId="6881299B" w14:textId="6367A16E" w:rsidR="0014628D" w:rsidRPr="00E17388" w:rsidRDefault="0014628D" w:rsidP="0014628D">
      <w:pPr>
        <w:pStyle w:val="Blockquote"/>
        <w:tabs>
          <w:tab w:val="left" w:pos="284"/>
        </w:tabs>
        <w:ind w:left="1341" w:right="1"/>
        <w:jc w:val="both"/>
        <w:rPr>
          <w:sz w:val="22"/>
          <w:szCs w:val="22"/>
          <w:lang w:val="es-ES"/>
        </w:rPr>
      </w:pPr>
      <w:r w:rsidRPr="00E17388">
        <w:rPr>
          <w:sz w:val="22"/>
          <w:szCs w:val="22"/>
          <w:lang w:val="en-GB"/>
        </w:rPr>
        <w:t>Criteria</w:t>
      </w:r>
      <w:r w:rsidRPr="00E17388">
        <w:rPr>
          <w:sz w:val="22"/>
          <w:szCs w:val="22"/>
          <w:lang w:val="es-ES"/>
        </w:rPr>
        <w:t xml:space="preserve"> </w:t>
      </w:r>
      <w:r w:rsidRPr="00E17388">
        <w:rPr>
          <w:sz w:val="22"/>
          <w:szCs w:val="22"/>
          <w:lang w:val="en-GB"/>
        </w:rPr>
        <w:t>for</w:t>
      </w:r>
      <w:r w:rsidRPr="00E17388">
        <w:rPr>
          <w:sz w:val="22"/>
          <w:szCs w:val="22"/>
          <w:lang w:val="es-ES"/>
        </w:rPr>
        <w:t xml:space="preserve"> legal </w:t>
      </w:r>
      <w:r w:rsidRPr="00E17388">
        <w:rPr>
          <w:sz w:val="22"/>
          <w:szCs w:val="22"/>
          <w:lang w:val="en-GB"/>
        </w:rPr>
        <w:t>persons</w:t>
      </w:r>
      <w:r w:rsidRPr="00E17388">
        <w:rPr>
          <w:sz w:val="22"/>
          <w:szCs w:val="22"/>
          <w:lang w:val="es-ES"/>
        </w:rPr>
        <w:t xml:space="preserve">: </w:t>
      </w:r>
    </w:p>
    <w:p w14:paraId="385DEB06" w14:textId="6F28998A" w:rsidR="009E65BC" w:rsidRPr="009E65BC" w:rsidRDefault="009E65BC" w:rsidP="009E65BC">
      <w:pPr>
        <w:widowControl/>
        <w:numPr>
          <w:ilvl w:val="0"/>
          <w:numId w:val="46"/>
        </w:numPr>
        <w:autoSpaceDE w:val="0"/>
        <w:autoSpaceDN w:val="0"/>
        <w:adjustRightInd w:val="0"/>
        <w:spacing w:before="0" w:after="120"/>
        <w:contextualSpacing/>
        <w:jc w:val="both"/>
        <w:rPr>
          <w:snapToGrid/>
          <w:color w:val="000000"/>
          <w:sz w:val="22"/>
          <w:szCs w:val="22"/>
        </w:rPr>
      </w:pPr>
      <w:r w:rsidRPr="009E65BC">
        <w:rPr>
          <w:snapToGrid/>
          <w:color w:val="000000"/>
        </w:rPr>
        <w:t xml:space="preserve"> </w:t>
      </w:r>
      <w:r w:rsidRPr="009E65BC">
        <w:rPr>
          <w:snapToGrid/>
          <w:color w:val="000000"/>
          <w:sz w:val="22"/>
          <w:szCs w:val="22"/>
        </w:rPr>
        <w:t xml:space="preserve">The Bidder shall submit </w:t>
      </w:r>
      <w:r w:rsidRPr="009E65BC">
        <w:rPr>
          <w:snapToGrid/>
          <w:sz w:val="22"/>
          <w:szCs w:val="22"/>
        </w:rPr>
        <w:t xml:space="preserve">audited financial statements or, if not required by the law of the Bidder’s country, other financial statements acceptable to the Purchaser, during </w:t>
      </w:r>
      <w:r w:rsidRPr="009E65BC">
        <w:rPr>
          <w:b/>
          <w:snapToGrid/>
          <w:sz w:val="22"/>
          <w:szCs w:val="22"/>
        </w:rPr>
        <w:t>the last three years (2022-2024)</w:t>
      </w:r>
      <w:r w:rsidRPr="009E65BC">
        <w:rPr>
          <w:snapToGrid/>
          <w:sz w:val="22"/>
          <w:szCs w:val="22"/>
        </w:rPr>
        <w:t xml:space="preserve"> prior to bid submission deadline, demonstrating the current soundness of the Bidder’s financial position. For a joint venture, this requirement shall be met by each member</w:t>
      </w:r>
      <w:r w:rsidRPr="009E65BC">
        <w:rPr>
          <w:snapToGrid/>
          <w:color w:val="000000"/>
          <w:sz w:val="22"/>
          <w:szCs w:val="22"/>
        </w:rPr>
        <w:t xml:space="preserve">. </w:t>
      </w:r>
    </w:p>
    <w:p w14:paraId="060E1A87" w14:textId="77777777" w:rsidR="009E65BC" w:rsidRPr="009E65BC" w:rsidRDefault="009E65BC" w:rsidP="009E65BC">
      <w:pPr>
        <w:widowControl/>
        <w:spacing w:before="0" w:after="0"/>
        <w:ind w:left="360"/>
        <w:contextualSpacing/>
        <w:rPr>
          <w:snapToGrid/>
          <w:color w:val="000000"/>
          <w:sz w:val="22"/>
          <w:szCs w:val="22"/>
        </w:rPr>
      </w:pPr>
    </w:p>
    <w:p w14:paraId="661C5C3F" w14:textId="58FEC95B" w:rsidR="009E65BC" w:rsidRPr="009E65BC" w:rsidRDefault="009E65BC" w:rsidP="009E65BC">
      <w:pPr>
        <w:widowControl/>
        <w:autoSpaceDE w:val="0"/>
        <w:autoSpaceDN w:val="0"/>
        <w:adjustRightInd w:val="0"/>
        <w:spacing w:before="0" w:after="120"/>
        <w:ind w:left="360"/>
        <w:contextualSpacing/>
        <w:jc w:val="both"/>
        <w:rPr>
          <w:snapToGrid/>
          <w:sz w:val="22"/>
          <w:szCs w:val="22"/>
        </w:rPr>
      </w:pPr>
      <w:r w:rsidRPr="009E65BC">
        <w:rPr>
          <w:snapToGrid/>
          <w:sz w:val="22"/>
          <w:szCs w:val="22"/>
        </w:rPr>
        <w:t xml:space="preserve">In addition, the Bidder shall document to have minimum average annual turnover of </w:t>
      </w:r>
      <w:r w:rsidRPr="009E65BC">
        <w:rPr>
          <w:b/>
          <w:snapToGrid/>
          <w:sz w:val="22"/>
          <w:szCs w:val="22"/>
        </w:rPr>
        <w:t>EUR 200,000</w:t>
      </w:r>
      <w:r w:rsidRPr="009E65BC">
        <w:rPr>
          <w:snapToGrid/>
          <w:sz w:val="22"/>
          <w:szCs w:val="22"/>
        </w:rPr>
        <w:t>, calculated as total certified payments received for contracts in progress or completed, within the last three years (2022-2024) prior to bid submission deadline. For a joint venture, this requirement shall be met by all the members combined.</w:t>
      </w:r>
    </w:p>
    <w:p w14:paraId="70ECF2AB" w14:textId="77777777" w:rsidR="0014628D" w:rsidRPr="009361D9" w:rsidRDefault="0014628D" w:rsidP="0014628D">
      <w:pPr>
        <w:pStyle w:val="Blockquote"/>
        <w:tabs>
          <w:tab w:val="left" w:pos="284"/>
        </w:tabs>
        <w:ind w:left="1341" w:right="1"/>
        <w:jc w:val="both"/>
        <w:rPr>
          <w:sz w:val="22"/>
          <w:szCs w:val="22"/>
          <w:lang w:val="en-GB"/>
        </w:rPr>
      </w:pPr>
      <w:r w:rsidRPr="009361D9">
        <w:rPr>
          <w:sz w:val="22"/>
          <w:szCs w:val="22"/>
          <w:lang w:val="en-GB"/>
        </w:rPr>
        <w:t xml:space="preserve">Criteria for natural persons: </w:t>
      </w:r>
    </w:p>
    <w:p w14:paraId="4D2687C6" w14:textId="19695CC1" w:rsidR="0014628D" w:rsidRPr="009361D9" w:rsidRDefault="0014628D" w:rsidP="0014628D">
      <w:pPr>
        <w:pStyle w:val="Blockquote"/>
        <w:spacing w:before="0"/>
        <w:ind w:left="1341" w:right="1"/>
        <w:jc w:val="both"/>
        <w:rPr>
          <w:sz w:val="22"/>
          <w:szCs w:val="22"/>
          <w:lang w:val="en-GB"/>
        </w:rPr>
      </w:pPr>
      <w:r w:rsidRPr="009361D9">
        <w:rPr>
          <w:sz w:val="22"/>
          <w:szCs w:val="22"/>
          <w:lang w:val="en-GB"/>
        </w:rPr>
        <w:t xml:space="preserve">1- the available financial resources of the tenderer must exceed the annualised maximum budget of the </w:t>
      </w:r>
      <w:r w:rsidR="009E65BC" w:rsidRPr="009361D9">
        <w:rPr>
          <w:sz w:val="22"/>
          <w:szCs w:val="22"/>
          <w:lang w:val="en-GB"/>
        </w:rPr>
        <w:t>contract.</w:t>
      </w:r>
    </w:p>
    <w:p w14:paraId="5A33A84B" w14:textId="3E71E399" w:rsidR="0014628D" w:rsidRDefault="0014628D" w:rsidP="0014628D">
      <w:pPr>
        <w:pStyle w:val="Blockquote"/>
        <w:spacing w:before="0"/>
        <w:ind w:left="1341" w:right="1"/>
        <w:jc w:val="both"/>
        <w:rPr>
          <w:sz w:val="22"/>
          <w:szCs w:val="22"/>
          <w:lang w:val="en-GB"/>
        </w:rPr>
      </w:pPr>
      <w:r w:rsidRPr="009361D9">
        <w:rPr>
          <w:sz w:val="22"/>
          <w:szCs w:val="22"/>
          <w:lang w:val="en-GB"/>
        </w:rPr>
        <w:lastRenderedPageBreak/>
        <w:t xml:space="preserve">2- the financial situation of the tenderer should not be in deficit, </w:t>
      </w:r>
      <w:proofErr w:type="gramStart"/>
      <w:r w:rsidRPr="009361D9">
        <w:rPr>
          <w:sz w:val="22"/>
          <w:szCs w:val="22"/>
          <w:lang w:val="en-GB"/>
        </w:rPr>
        <w:t>taken into account</w:t>
      </w:r>
      <w:proofErr w:type="gramEnd"/>
      <w:r w:rsidRPr="009361D9">
        <w:rPr>
          <w:sz w:val="22"/>
          <w:szCs w:val="22"/>
          <w:lang w:val="en-GB"/>
        </w:rPr>
        <w:t xml:space="preserve"> debts, at the beginning and end of </w:t>
      </w:r>
      <w:r w:rsidR="009E65BC" w:rsidRPr="009361D9">
        <w:rPr>
          <w:sz w:val="22"/>
          <w:szCs w:val="22"/>
          <w:lang w:val="en-GB"/>
        </w:rPr>
        <w:t>year.</w:t>
      </w:r>
    </w:p>
    <w:p w14:paraId="0ACC3EA2" w14:textId="6F2DDD24" w:rsidR="0014628D" w:rsidRDefault="0014628D" w:rsidP="0014628D">
      <w:pPr>
        <w:pStyle w:val="Blockquote"/>
        <w:spacing w:before="0"/>
        <w:ind w:left="1341" w:right="1"/>
        <w:jc w:val="both"/>
        <w:rPr>
          <w:sz w:val="22"/>
          <w:szCs w:val="22"/>
          <w:lang w:val="en-GB"/>
        </w:rPr>
      </w:pPr>
      <w:r w:rsidRPr="009C3047">
        <w:rPr>
          <w:sz w:val="22"/>
          <w:szCs w:val="22"/>
          <w:lang w:val="en-GB"/>
        </w:rPr>
        <w:t xml:space="preserve">The </w:t>
      </w:r>
      <w:r>
        <w:rPr>
          <w:sz w:val="22"/>
          <w:szCs w:val="22"/>
          <w:lang w:val="en-GB"/>
        </w:rPr>
        <w:t>Tenderer</w:t>
      </w:r>
      <w:r w:rsidRPr="009C3047">
        <w:rPr>
          <w:sz w:val="22"/>
          <w:szCs w:val="22"/>
          <w:lang w:val="en-GB"/>
        </w:rPr>
        <w:t xml:space="preserve"> shall submit audited financial statements or, if not required by the law of the </w:t>
      </w:r>
      <w:r>
        <w:rPr>
          <w:sz w:val="22"/>
          <w:szCs w:val="22"/>
          <w:lang w:val="en-GB"/>
        </w:rPr>
        <w:t>Tenderer</w:t>
      </w:r>
      <w:r w:rsidRPr="009C3047">
        <w:rPr>
          <w:sz w:val="22"/>
          <w:szCs w:val="22"/>
          <w:lang w:val="en-GB"/>
        </w:rPr>
        <w:t>’s country, other financial statements acceptable to the Purchaser, during the last three years (202</w:t>
      </w:r>
      <w:r>
        <w:rPr>
          <w:sz w:val="22"/>
          <w:szCs w:val="22"/>
          <w:lang w:val="en-GB"/>
        </w:rPr>
        <w:t>2</w:t>
      </w:r>
      <w:r w:rsidRPr="009C3047">
        <w:rPr>
          <w:sz w:val="22"/>
          <w:szCs w:val="22"/>
          <w:lang w:val="en-GB"/>
        </w:rPr>
        <w:t>-202</w:t>
      </w:r>
      <w:r>
        <w:rPr>
          <w:sz w:val="22"/>
          <w:szCs w:val="22"/>
          <w:lang w:val="en-GB"/>
        </w:rPr>
        <w:t>4</w:t>
      </w:r>
      <w:r w:rsidRPr="009C3047">
        <w:rPr>
          <w:sz w:val="22"/>
          <w:szCs w:val="22"/>
          <w:lang w:val="en-GB"/>
        </w:rPr>
        <w:t xml:space="preserve">) prior to bid submission deadline, demonstrating the current soundness of the </w:t>
      </w:r>
      <w:r>
        <w:rPr>
          <w:sz w:val="22"/>
          <w:szCs w:val="22"/>
          <w:lang w:val="en-GB"/>
        </w:rPr>
        <w:t>Tenderer</w:t>
      </w:r>
      <w:r w:rsidRPr="009C3047">
        <w:rPr>
          <w:sz w:val="22"/>
          <w:szCs w:val="22"/>
          <w:lang w:val="en-GB"/>
        </w:rPr>
        <w:t xml:space="preserve">’s financial position. For a joint venture, this requirement shall be met by each member. </w:t>
      </w:r>
    </w:p>
    <w:p w14:paraId="588B8A37" w14:textId="13D96358" w:rsidR="0014628D" w:rsidRPr="009C3047" w:rsidRDefault="0014628D" w:rsidP="0014628D">
      <w:pPr>
        <w:pStyle w:val="Blockquote"/>
        <w:spacing w:before="0"/>
        <w:ind w:left="1341" w:right="1"/>
        <w:jc w:val="both"/>
        <w:rPr>
          <w:sz w:val="22"/>
          <w:szCs w:val="22"/>
          <w:lang w:val="en-GB"/>
        </w:rPr>
      </w:pPr>
      <w:r w:rsidRPr="009C3047">
        <w:rPr>
          <w:sz w:val="22"/>
          <w:szCs w:val="22"/>
          <w:lang w:val="en-GB"/>
        </w:rPr>
        <w:t xml:space="preserve"> In addition, the </w:t>
      </w:r>
      <w:r>
        <w:rPr>
          <w:sz w:val="22"/>
          <w:szCs w:val="22"/>
          <w:lang w:val="en-GB"/>
        </w:rPr>
        <w:t>Tenderer</w:t>
      </w:r>
      <w:r w:rsidRPr="009C3047">
        <w:rPr>
          <w:sz w:val="22"/>
          <w:szCs w:val="22"/>
          <w:lang w:val="en-GB"/>
        </w:rPr>
        <w:t xml:space="preserve"> shall document to have minimum average annual turnover of exceed the annualised maximum budget of the contract, calculated as total certified payments received for contracts in progress or completed, within the last three years (202</w:t>
      </w:r>
      <w:r>
        <w:rPr>
          <w:sz w:val="22"/>
          <w:szCs w:val="22"/>
          <w:lang w:val="en-GB"/>
        </w:rPr>
        <w:t>2</w:t>
      </w:r>
      <w:r w:rsidRPr="009C3047">
        <w:rPr>
          <w:sz w:val="22"/>
          <w:szCs w:val="22"/>
          <w:lang w:val="en-GB"/>
        </w:rPr>
        <w:t>-202</w:t>
      </w:r>
      <w:r>
        <w:rPr>
          <w:sz w:val="22"/>
          <w:szCs w:val="22"/>
          <w:lang w:val="en-GB"/>
        </w:rPr>
        <w:t>4</w:t>
      </w:r>
      <w:r w:rsidRPr="009C3047">
        <w:rPr>
          <w:sz w:val="22"/>
          <w:szCs w:val="22"/>
          <w:lang w:val="en-GB"/>
        </w:rPr>
        <w:t>) prior to bid submission deadline. For a joint venture, this requirement shall be met by all members combined.</w:t>
      </w:r>
    </w:p>
    <w:p w14:paraId="5D762B00"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195C8042" w14:textId="77777777" w:rsidR="00BE08EC" w:rsidRPr="00B33EE6"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w:t>
      </w:r>
      <w:proofErr w:type="gramStart"/>
      <w:r w:rsidRPr="00B33EE6">
        <w:rPr>
          <w:sz w:val="22"/>
          <w:szCs w:val="22"/>
          <w:lang w:val="en-GB"/>
        </w:rPr>
        <w:t>taken into account</w:t>
      </w:r>
      <w:proofErr w:type="gramEnd"/>
      <w:r w:rsidRPr="00B33EE6">
        <w:rPr>
          <w:sz w:val="22"/>
          <w:szCs w:val="22"/>
          <w:lang w:val="en-GB"/>
        </w:rPr>
        <w:t xml:space="preserve">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000528A9" w14:textId="77777777" w:rsidR="003D56DB" w:rsidRPr="00994437" w:rsidRDefault="003D56DB" w:rsidP="003D56DB">
      <w:pPr>
        <w:pStyle w:val="Blockquote"/>
        <w:ind w:left="1134" w:right="1" w:hanging="284"/>
        <w:jc w:val="both"/>
        <w:rPr>
          <w:sz w:val="22"/>
          <w:szCs w:val="22"/>
          <w:lang w:val="en-GB"/>
        </w:rPr>
      </w:pPr>
      <w:r w:rsidRPr="00994437">
        <w:rPr>
          <w:sz w:val="22"/>
          <w:szCs w:val="22"/>
          <w:lang w:val="en-GB"/>
        </w:rPr>
        <w:t xml:space="preserve">Criteria for legal and natural persons:  </w:t>
      </w:r>
    </w:p>
    <w:p w14:paraId="45A3327F" w14:textId="77777777" w:rsidR="009E65BC" w:rsidRPr="009E65BC" w:rsidRDefault="009E65BC" w:rsidP="009E65BC">
      <w:pPr>
        <w:widowControl/>
        <w:autoSpaceDE w:val="0"/>
        <w:autoSpaceDN w:val="0"/>
        <w:adjustRightInd w:val="0"/>
        <w:spacing w:before="0" w:after="120"/>
        <w:ind w:left="360"/>
        <w:contextualSpacing/>
        <w:jc w:val="both"/>
        <w:rPr>
          <w:bCs/>
          <w:snapToGrid/>
          <w:color w:val="000000"/>
          <w:sz w:val="22"/>
          <w:szCs w:val="22"/>
        </w:rPr>
      </w:pPr>
      <w:r w:rsidRPr="009E65BC">
        <w:rPr>
          <w:bCs/>
          <w:snapToGrid/>
          <w:color w:val="000000"/>
          <w:sz w:val="22"/>
          <w:szCs w:val="22"/>
        </w:rPr>
        <w:t xml:space="preserve">The bidder must be authorized by the manufacturer or the representative office of the manufacturer for the territory of the Republic of Serbia to offer and sell the goods that are the subject of procurement </w:t>
      </w:r>
    </w:p>
    <w:p w14:paraId="20D508AE" w14:textId="3D493ED2" w:rsidR="009E65BC" w:rsidRPr="009E65BC" w:rsidRDefault="009E65BC" w:rsidP="009E65BC">
      <w:pPr>
        <w:widowControl/>
        <w:autoSpaceDE w:val="0"/>
        <w:autoSpaceDN w:val="0"/>
        <w:adjustRightInd w:val="0"/>
        <w:spacing w:before="0" w:after="120"/>
        <w:contextualSpacing/>
        <w:jc w:val="both"/>
        <w:rPr>
          <w:bCs/>
          <w:snapToGrid/>
          <w:color w:val="000000"/>
          <w:sz w:val="22"/>
          <w:szCs w:val="22"/>
        </w:rPr>
      </w:pPr>
      <w:r>
        <w:rPr>
          <w:bCs/>
          <w:snapToGrid/>
          <w:color w:val="000000"/>
          <w:sz w:val="22"/>
          <w:szCs w:val="22"/>
        </w:rPr>
        <w:t xml:space="preserve">      </w:t>
      </w:r>
      <w:r w:rsidRPr="009E65BC">
        <w:rPr>
          <w:bCs/>
          <w:snapToGrid/>
          <w:color w:val="000000"/>
          <w:sz w:val="22"/>
          <w:szCs w:val="22"/>
        </w:rPr>
        <w:t xml:space="preserve">The Bidder is obliged to submit: </w:t>
      </w:r>
    </w:p>
    <w:p w14:paraId="27BACD2F" w14:textId="77777777" w:rsidR="009E65BC" w:rsidRPr="009E65BC" w:rsidRDefault="009E65BC" w:rsidP="009E65BC">
      <w:pPr>
        <w:widowControl/>
        <w:numPr>
          <w:ilvl w:val="0"/>
          <w:numId w:val="49"/>
        </w:numPr>
        <w:autoSpaceDE w:val="0"/>
        <w:autoSpaceDN w:val="0"/>
        <w:adjustRightInd w:val="0"/>
        <w:spacing w:before="0" w:after="120"/>
        <w:contextualSpacing/>
        <w:jc w:val="both"/>
        <w:rPr>
          <w:bCs/>
          <w:snapToGrid/>
          <w:color w:val="000000"/>
          <w:sz w:val="22"/>
          <w:szCs w:val="22"/>
        </w:rPr>
      </w:pPr>
      <w:r w:rsidRPr="009E65BC">
        <w:rPr>
          <w:bCs/>
          <w:snapToGrid/>
          <w:color w:val="000000"/>
          <w:sz w:val="22"/>
          <w:szCs w:val="22"/>
        </w:rPr>
        <w:t>Confirmation of the manufacturer or representative office of the manufacturer for the territory of the Republic of Serbia that the bidder is authorized to offer and sell the goods that are the subject of procurement. The confirmation must be addressed to the bidder and refer to the procurement in question.</w:t>
      </w:r>
    </w:p>
    <w:p w14:paraId="445E52F9" w14:textId="77777777" w:rsidR="009E65BC" w:rsidRPr="009E65BC" w:rsidRDefault="009E65BC" w:rsidP="009E65BC">
      <w:pPr>
        <w:widowControl/>
        <w:numPr>
          <w:ilvl w:val="0"/>
          <w:numId w:val="49"/>
        </w:numPr>
        <w:autoSpaceDE w:val="0"/>
        <w:autoSpaceDN w:val="0"/>
        <w:adjustRightInd w:val="0"/>
        <w:spacing w:before="0" w:after="120"/>
        <w:contextualSpacing/>
        <w:jc w:val="both"/>
        <w:rPr>
          <w:bCs/>
          <w:snapToGrid/>
          <w:color w:val="000000"/>
          <w:sz w:val="22"/>
          <w:szCs w:val="22"/>
        </w:rPr>
      </w:pPr>
      <w:r w:rsidRPr="009E65BC">
        <w:rPr>
          <w:bCs/>
          <w:snapToGrid/>
          <w:color w:val="000000"/>
          <w:sz w:val="22"/>
          <w:szCs w:val="22"/>
        </w:rPr>
        <w:t>Confirmation of the manufacturer or representative office of the manufacturer for the territory of the Republic of Serbia, for the offered subject goods, from the Technical Specification, by which the bidder proves the compliance of the offered goods with the required technical specifications from this Tender documents. The confirmation must be addressed to the bidder and refer to the procurement in question.</w:t>
      </w:r>
    </w:p>
    <w:p w14:paraId="4729EC29" w14:textId="45E58599" w:rsidR="003D56DB" w:rsidRPr="009E65BC" w:rsidRDefault="003D56DB" w:rsidP="003D56DB">
      <w:pPr>
        <w:pStyle w:val="Blockquote"/>
        <w:ind w:left="1134" w:right="1" w:hanging="284"/>
        <w:jc w:val="both"/>
        <w:rPr>
          <w:sz w:val="22"/>
          <w:szCs w:val="22"/>
          <w:lang w:val="en-GB"/>
        </w:rPr>
      </w:pPr>
    </w:p>
    <w:p w14:paraId="2E55CE24" w14:textId="77777777" w:rsidR="003D56DB" w:rsidRPr="005875A8" w:rsidRDefault="003D56DB" w:rsidP="003D56DB">
      <w:pPr>
        <w:pStyle w:val="Blockquote"/>
        <w:ind w:left="1134" w:right="1" w:hanging="284"/>
        <w:jc w:val="both"/>
        <w:rPr>
          <w:sz w:val="22"/>
          <w:szCs w:val="22"/>
          <w:lang w:val="en-GB"/>
        </w:rPr>
      </w:pPr>
    </w:p>
    <w:p w14:paraId="05E75179" w14:textId="77777777" w:rsidR="00BE08EC" w:rsidRPr="00B33EE6"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w:t>
      </w:r>
      <w:proofErr w:type="gramStart"/>
      <w:r w:rsidR="00BE08EC" w:rsidRPr="00B33EE6">
        <w:rPr>
          <w:sz w:val="22"/>
          <w:szCs w:val="22"/>
          <w:lang w:val="en-GB"/>
        </w:rPr>
        <w:t>taken into account</w:t>
      </w:r>
      <w:proofErr w:type="gramEnd"/>
      <w:r w:rsidR="00BE08EC" w:rsidRPr="00B33EE6">
        <w:rPr>
          <w:sz w:val="22"/>
          <w:szCs w:val="22"/>
          <w:lang w:val="en-GB"/>
        </w:rPr>
        <w:t xml:space="preserve"> will be the last </w:t>
      </w:r>
      <w:r w:rsidR="00051D1D" w:rsidRPr="003D56DB">
        <w:rPr>
          <w:sz w:val="22"/>
          <w:szCs w:val="22"/>
          <w:lang w:val="en-GB"/>
        </w:rPr>
        <w:t>[</w:t>
      </w:r>
      <w:r w:rsidR="00BE08EC" w:rsidRPr="003D56DB">
        <w:rPr>
          <w:sz w:val="22"/>
          <w:szCs w:val="22"/>
          <w:lang w:val="en-GB"/>
        </w:rPr>
        <w:t>three</w:t>
      </w:r>
      <w:r w:rsidR="00862885" w:rsidRPr="003D56DB">
        <w:rPr>
          <w:sz w:val="22"/>
          <w:szCs w:val="22"/>
          <w:lang w:val="en-GB"/>
        </w:rPr>
        <w:t xml:space="preserve"> years</w:t>
      </w:r>
      <w:r w:rsidR="00051D1D" w:rsidRPr="003D56DB">
        <w:rPr>
          <w:sz w:val="22"/>
          <w:szCs w:val="22"/>
          <w:lang w:val="en-GB"/>
        </w:rPr>
        <w:t>]</w:t>
      </w:r>
      <w:r w:rsidR="00862885" w:rsidRPr="00A046E7">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67053663" w14:textId="01CA992D" w:rsidR="00CB2A5B" w:rsidRDefault="00CB2A5B" w:rsidP="008660AD">
      <w:pPr>
        <w:pStyle w:val="Blockquote"/>
        <w:tabs>
          <w:tab w:val="left" w:pos="284"/>
        </w:tabs>
        <w:jc w:val="both"/>
        <w:rPr>
          <w:sz w:val="22"/>
          <w:szCs w:val="22"/>
          <w:lang w:val="en-GB"/>
        </w:rPr>
      </w:pPr>
      <w:r w:rsidRPr="00CB2A5B">
        <w:rPr>
          <w:sz w:val="22"/>
          <w:szCs w:val="22"/>
          <w:lang w:val="en-GB"/>
        </w:rPr>
        <w:t xml:space="preserve">This means that </w:t>
      </w:r>
      <w:r w:rsidR="00907B17" w:rsidRPr="00CB2A5B">
        <w:rPr>
          <w:sz w:val="22"/>
          <w:szCs w:val="22"/>
          <w:lang w:val="en-GB"/>
        </w:rPr>
        <w:t>the contract</w:t>
      </w:r>
      <w:r w:rsidRPr="00CB2A5B">
        <w:rPr>
          <w:sz w:val="22"/>
          <w:szCs w:val="22"/>
          <w:lang w:val="en-GB"/>
        </w:rPr>
        <w:t xml:space="preserve"> the tenderer refers to could have been started at any time during the indicated </w:t>
      </w:r>
      <w:proofErr w:type="gramStart"/>
      <w:r w:rsidRPr="00CB2A5B">
        <w:rPr>
          <w:sz w:val="22"/>
          <w:szCs w:val="22"/>
          <w:lang w:val="en-GB"/>
        </w:rPr>
        <w:t>period</w:t>
      </w:r>
      <w:proofErr w:type="gramEnd"/>
      <w:r w:rsidRPr="00CB2A5B">
        <w:rPr>
          <w:sz w:val="22"/>
          <w:szCs w:val="22"/>
          <w:lang w:val="en-GB"/>
        </w:rPr>
        <w:t xml:space="preserve"> but it does not necessarily have to be completed during that period, nor implemented during the entire period. Tenderers are allowed to refer either to supply contracts completed within the reference period (although started earlier) or to supply contracts not yet completed. Only the portion satisfactorily completed during the reference period will be taken into </w:t>
      </w:r>
      <w:r w:rsidRPr="009E65BC">
        <w:rPr>
          <w:sz w:val="22"/>
          <w:szCs w:val="22"/>
          <w:u w:val="single"/>
          <w:lang w:val="en-GB"/>
        </w:rPr>
        <w:t>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w:t>
      </w:r>
      <w:r w:rsidRPr="00CB2A5B">
        <w:rPr>
          <w:sz w:val="22"/>
          <w:szCs w:val="22"/>
          <w:lang w:val="en-GB"/>
        </w:rPr>
        <w:t xml:space="preserve"> completed must be clear from the documentary evidence, together with a description of the nature of the supplies provided if the selection criteria relating to the pertinence of the experience have been used.</w:t>
      </w:r>
    </w:p>
    <w:p w14:paraId="2CADAE2B" w14:textId="77777777" w:rsidR="002E7779" w:rsidRPr="009E65BC" w:rsidRDefault="002E7779" w:rsidP="002E7779">
      <w:pPr>
        <w:pStyle w:val="Blockquote"/>
        <w:tabs>
          <w:tab w:val="left" w:pos="284"/>
        </w:tabs>
        <w:ind w:left="1341" w:right="1"/>
        <w:jc w:val="both"/>
        <w:rPr>
          <w:sz w:val="22"/>
          <w:szCs w:val="22"/>
          <w:lang w:val="en-GB"/>
        </w:rPr>
      </w:pPr>
      <w:r w:rsidRPr="009E65BC">
        <w:rPr>
          <w:sz w:val="22"/>
          <w:szCs w:val="22"/>
          <w:lang w:val="en-GB"/>
        </w:rPr>
        <w:lastRenderedPageBreak/>
        <w:t xml:space="preserve">Criteria for legal and natural persons: </w:t>
      </w:r>
    </w:p>
    <w:p w14:paraId="2CC3CD5E" w14:textId="77777777" w:rsidR="009E65BC" w:rsidRPr="009E65BC" w:rsidRDefault="009E65BC" w:rsidP="009E65BC">
      <w:pPr>
        <w:widowControl/>
        <w:autoSpaceDE w:val="0"/>
        <w:autoSpaceDN w:val="0"/>
        <w:adjustRightInd w:val="0"/>
        <w:spacing w:before="0" w:after="120"/>
        <w:ind w:left="1530"/>
        <w:contextualSpacing/>
        <w:jc w:val="both"/>
        <w:rPr>
          <w:snapToGrid/>
          <w:sz w:val="22"/>
          <w:szCs w:val="22"/>
        </w:rPr>
      </w:pPr>
      <w:bookmarkStart w:id="14" w:name="_Hlk160531149"/>
      <w:r w:rsidRPr="009E65BC">
        <w:rPr>
          <w:snapToGrid/>
          <w:color w:val="000000"/>
          <w:sz w:val="22"/>
          <w:szCs w:val="22"/>
        </w:rPr>
        <w:t xml:space="preserve">The Bidder shall submit certification/licensing evidence for at least: </w:t>
      </w:r>
    </w:p>
    <w:bookmarkEnd w:id="14"/>
    <w:p w14:paraId="6EAA54C1" w14:textId="77777777" w:rsidR="009E65BC" w:rsidRPr="009E65BC" w:rsidRDefault="009E65BC" w:rsidP="009E65BC">
      <w:pPr>
        <w:widowControl/>
        <w:numPr>
          <w:ilvl w:val="0"/>
          <w:numId w:val="48"/>
        </w:numPr>
        <w:autoSpaceDE w:val="0"/>
        <w:autoSpaceDN w:val="0"/>
        <w:adjustRightInd w:val="0"/>
        <w:spacing w:before="0" w:after="120"/>
        <w:contextualSpacing/>
        <w:jc w:val="both"/>
        <w:rPr>
          <w:snapToGrid/>
          <w:color w:val="000000"/>
          <w:sz w:val="22"/>
          <w:szCs w:val="22"/>
        </w:rPr>
      </w:pPr>
      <w:r w:rsidRPr="009E65BC">
        <w:rPr>
          <w:snapToGrid/>
          <w:color w:val="000000"/>
          <w:sz w:val="22"/>
          <w:szCs w:val="22"/>
        </w:rPr>
        <w:t>One (1) person ITIL certified - global framework of best practices for IT service management focused on reducing risk, improving customer relations, and supporting IT environments, demonstrate in-depth knowledge of the IT Service Management Lifecycle</w:t>
      </w:r>
    </w:p>
    <w:p w14:paraId="17826681" w14:textId="77777777" w:rsidR="009E65BC" w:rsidRPr="009E65BC" w:rsidRDefault="009E65BC" w:rsidP="009E65BC">
      <w:pPr>
        <w:widowControl/>
        <w:numPr>
          <w:ilvl w:val="0"/>
          <w:numId w:val="48"/>
        </w:numPr>
        <w:spacing w:before="0" w:after="0"/>
        <w:contextualSpacing/>
        <w:rPr>
          <w:snapToGrid/>
          <w:color w:val="000000"/>
          <w:sz w:val="22"/>
          <w:szCs w:val="22"/>
        </w:rPr>
      </w:pPr>
      <w:r w:rsidRPr="009E65BC">
        <w:rPr>
          <w:snapToGrid/>
          <w:color w:val="000000"/>
          <w:sz w:val="22"/>
          <w:szCs w:val="22"/>
        </w:rPr>
        <w:t xml:space="preserve">One (1) engineer with valid certificate for: Network Professional Data Center, Network Professional Security, Network Professional Enterprise, and minimum one of them having a valid certificate for Information Systems Security Professional CISSP (ISC2), or equivalent. </w:t>
      </w:r>
    </w:p>
    <w:p w14:paraId="00A3160B" w14:textId="77777777" w:rsidR="009E65BC" w:rsidRPr="009E65BC" w:rsidRDefault="009E65BC" w:rsidP="009E65BC">
      <w:pPr>
        <w:widowControl/>
        <w:spacing w:before="0" w:after="0"/>
        <w:ind w:left="1800"/>
        <w:contextualSpacing/>
        <w:rPr>
          <w:snapToGrid/>
          <w:color w:val="000000"/>
          <w:sz w:val="22"/>
          <w:szCs w:val="22"/>
        </w:rPr>
      </w:pPr>
    </w:p>
    <w:p w14:paraId="0B9159CC" w14:textId="77777777" w:rsidR="009E65BC" w:rsidRPr="009E65BC" w:rsidRDefault="009E65BC" w:rsidP="009E65BC">
      <w:pPr>
        <w:widowControl/>
        <w:numPr>
          <w:ilvl w:val="0"/>
          <w:numId w:val="46"/>
        </w:numPr>
        <w:autoSpaceDE w:val="0"/>
        <w:autoSpaceDN w:val="0"/>
        <w:adjustRightInd w:val="0"/>
        <w:spacing w:before="120" w:after="120"/>
        <w:jc w:val="both"/>
        <w:rPr>
          <w:i/>
          <w:iCs/>
          <w:snapToGrid/>
          <w:sz w:val="22"/>
          <w:szCs w:val="22"/>
        </w:rPr>
      </w:pPr>
      <w:r w:rsidRPr="009E65BC">
        <w:rPr>
          <w:b/>
          <w:bCs/>
          <w:snapToGrid/>
          <w:color w:val="000000"/>
          <w:sz w:val="22"/>
          <w:szCs w:val="22"/>
        </w:rPr>
        <w:t>Specific Experience</w:t>
      </w:r>
      <w:r w:rsidRPr="009E65BC">
        <w:rPr>
          <w:snapToGrid/>
          <w:color w:val="000000"/>
          <w:sz w:val="22"/>
          <w:szCs w:val="22"/>
        </w:rPr>
        <w:t xml:space="preserve">: </w:t>
      </w:r>
      <w:r w:rsidRPr="009E65BC">
        <w:rPr>
          <w:snapToGrid/>
          <w:sz w:val="22"/>
          <w:szCs w:val="22"/>
        </w:rPr>
        <w:t>The Bidder shall demonstrate that it has successfully completed at least two (2)</w:t>
      </w:r>
      <w:r w:rsidRPr="009E65BC">
        <w:rPr>
          <w:i/>
          <w:iCs/>
          <w:snapToGrid/>
          <w:sz w:val="22"/>
          <w:szCs w:val="22"/>
        </w:rPr>
        <w:t xml:space="preserve"> </w:t>
      </w:r>
      <w:r w:rsidRPr="009E65BC">
        <w:rPr>
          <w:snapToGrid/>
          <w:sz w:val="22"/>
          <w:szCs w:val="22"/>
        </w:rPr>
        <w:t>contracts within the last three (3) years</w:t>
      </w:r>
      <w:r w:rsidRPr="009E65BC">
        <w:rPr>
          <w:i/>
          <w:iCs/>
          <w:snapToGrid/>
          <w:color w:val="000000"/>
          <w:sz w:val="22"/>
          <w:szCs w:val="22"/>
        </w:rPr>
        <w:t xml:space="preserve"> </w:t>
      </w:r>
      <w:r w:rsidRPr="009E65BC">
        <w:rPr>
          <w:snapToGrid/>
          <w:sz w:val="22"/>
          <w:szCs w:val="22"/>
        </w:rPr>
        <w:t xml:space="preserve">prior to bid submission deadline with </w:t>
      </w:r>
      <w:proofErr w:type="gramStart"/>
      <w:r w:rsidRPr="009E65BC">
        <w:rPr>
          <w:snapToGrid/>
          <w:sz w:val="22"/>
          <w:szCs w:val="22"/>
        </w:rPr>
        <w:t>the</w:t>
      </w:r>
      <w:proofErr w:type="gramEnd"/>
      <w:r w:rsidRPr="009E65BC">
        <w:rPr>
          <w:snapToGrid/>
          <w:sz w:val="22"/>
          <w:szCs w:val="22"/>
        </w:rPr>
        <w:t xml:space="preserve"> similar scope and value</w:t>
      </w:r>
    </w:p>
    <w:p w14:paraId="622EAA9F" w14:textId="77777777" w:rsidR="009E65BC" w:rsidRPr="009E65BC" w:rsidRDefault="009E65BC" w:rsidP="009E65BC">
      <w:pPr>
        <w:widowControl/>
        <w:autoSpaceDE w:val="0"/>
        <w:autoSpaceDN w:val="0"/>
        <w:adjustRightInd w:val="0"/>
        <w:spacing w:before="120" w:after="120"/>
        <w:ind w:left="360"/>
        <w:jc w:val="both"/>
        <w:rPr>
          <w:i/>
          <w:iCs/>
          <w:snapToGrid/>
          <w:sz w:val="22"/>
          <w:szCs w:val="22"/>
        </w:rPr>
      </w:pPr>
      <w:r w:rsidRPr="009E65BC">
        <w:rPr>
          <w:snapToGrid/>
          <w:sz w:val="22"/>
          <w:szCs w:val="22"/>
        </w:rPr>
        <w:t>For a joint venture, this requirement may be met by all members combined.</w:t>
      </w:r>
    </w:p>
    <w:p w14:paraId="33546DFE" w14:textId="77777777" w:rsidR="009E65BC" w:rsidRPr="009E65BC" w:rsidRDefault="009E65BC" w:rsidP="009E65BC">
      <w:pPr>
        <w:widowControl/>
        <w:numPr>
          <w:ilvl w:val="0"/>
          <w:numId w:val="46"/>
        </w:numPr>
        <w:autoSpaceDE w:val="0"/>
        <w:autoSpaceDN w:val="0"/>
        <w:adjustRightInd w:val="0"/>
        <w:spacing w:before="0" w:after="120"/>
        <w:contextualSpacing/>
        <w:jc w:val="both"/>
        <w:rPr>
          <w:snapToGrid/>
          <w:color w:val="000000"/>
          <w:sz w:val="22"/>
          <w:szCs w:val="22"/>
        </w:rPr>
      </w:pPr>
      <w:r w:rsidRPr="009E65BC">
        <w:rPr>
          <w:b/>
          <w:bCs/>
          <w:snapToGrid/>
          <w:color w:val="000000"/>
          <w:sz w:val="22"/>
          <w:szCs w:val="22"/>
        </w:rPr>
        <w:t xml:space="preserve">Documentary Evidence: </w:t>
      </w:r>
      <w:r w:rsidRPr="009E65BC">
        <w:rPr>
          <w:snapToGrid/>
          <w:color w:val="000000"/>
          <w:sz w:val="22"/>
          <w:szCs w:val="22"/>
        </w:rPr>
        <w:t xml:space="preserve">The Bidder shall furnish documentary evidence to demonstrate that the Goods it offers meet the following usage requirement: </w:t>
      </w:r>
    </w:p>
    <w:p w14:paraId="490C6B5C" w14:textId="77777777" w:rsidR="009E65BC" w:rsidRPr="009E65BC" w:rsidRDefault="009E65BC" w:rsidP="009E65BC">
      <w:pPr>
        <w:widowControl/>
        <w:autoSpaceDE w:val="0"/>
        <w:autoSpaceDN w:val="0"/>
        <w:adjustRightInd w:val="0"/>
        <w:spacing w:before="0" w:after="120"/>
        <w:ind w:left="360"/>
        <w:contextualSpacing/>
        <w:jc w:val="both"/>
        <w:rPr>
          <w:snapToGrid/>
          <w:color w:val="000000"/>
          <w:sz w:val="22"/>
          <w:szCs w:val="22"/>
        </w:rPr>
      </w:pPr>
    </w:p>
    <w:p w14:paraId="7C7F8A33" w14:textId="77777777" w:rsidR="009E65BC" w:rsidRPr="009E65BC" w:rsidRDefault="009E65BC" w:rsidP="009E65BC">
      <w:pPr>
        <w:widowControl/>
        <w:numPr>
          <w:ilvl w:val="0"/>
          <w:numId w:val="47"/>
        </w:numPr>
        <w:autoSpaceDE w:val="0"/>
        <w:autoSpaceDN w:val="0"/>
        <w:adjustRightInd w:val="0"/>
        <w:spacing w:before="0" w:after="120"/>
        <w:contextualSpacing/>
        <w:jc w:val="both"/>
        <w:rPr>
          <w:snapToGrid/>
          <w:color w:val="000000"/>
          <w:sz w:val="22"/>
          <w:szCs w:val="22"/>
        </w:rPr>
      </w:pPr>
      <w:r w:rsidRPr="009E65BC">
        <w:rPr>
          <w:b/>
          <w:bCs/>
          <w:snapToGrid/>
          <w:color w:val="000000"/>
          <w:sz w:val="22"/>
          <w:szCs w:val="22"/>
        </w:rPr>
        <w:t>Technical solution description and technical specifications:</w:t>
      </w:r>
      <w:r w:rsidRPr="009E65BC">
        <w:rPr>
          <w:snapToGrid/>
          <w:color w:val="000000"/>
          <w:sz w:val="22"/>
          <w:szCs w:val="22"/>
        </w:rPr>
        <w:t xml:space="preserve"> Detailed datasheets for all required devices and equipment</w:t>
      </w:r>
    </w:p>
    <w:p w14:paraId="43E5C84E" w14:textId="77777777" w:rsidR="009E65BC" w:rsidRPr="009E65BC" w:rsidRDefault="009E65BC" w:rsidP="009E65BC">
      <w:pPr>
        <w:widowControl/>
        <w:autoSpaceDE w:val="0"/>
        <w:autoSpaceDN w:val="0"/>
        <w:adjustRightInd w:val="0"/>
        <w:spacing w:before="0" w:after="120"/>
        <w:ind w:left="360"/>
        <w:contextualSpacing/>
        <w:jc w:val="both"/>
        <w:rPr>
          <w:bCs/>
          <w:snapToGrid/>
          <w:color w:val="000000"/>
          <w:sz w:val="22"/>
          <w:szCs w:val="22"/>
        </w:rPr>
      </w:pPr>
      <w:r w:rsidRPr="009E65BC">
        <w:rPr>
          <w:bCs/>
          <w:snapToGrid/>
          <w:color w:val="000000"/>
          <w:sz w:val="22"/>
          <w:szCs w:val="22"/>
        </w:rPr>
        <w:t>Product catalog - The offered goods must have the required technical characteristics, which is proven by submitting in the offer a detailed description and technical documentation, i.e. a catalog/excerpt from the catalog with technical characteristics for all the equipment offered, which must correspond to the required technical characteristics or may be better than the required ones. If the features of the offered equipment required by the technical specification are not fully specified in the submitted technical documentation, that is, the catalog/excerpt from the catalog, it is necessary to submit a statement from the manufacturer or the local representative office of the manufacturer that the offered equipment has all the required technical characteristics or that it has better characteristics than required, for those characteristics that are not contained in the submitted technical documentation/catalog excerpt from the catalog</w:t>
      </w:r>
    </w:p>
    <w:p w14:paraId="51B1F72F" w14:textId="77BEE6C5" w:rsidR="004F00C7" w:rsidRPr="00B33EE6" w:rsidRDefault="004F00C7" w:rsidP="008660AD">
      <w:pPr>
        <w:pStyle w:val="Blockquote"/>
        <w:ind w:left="0"/>
        <w:jc w:val="both"/>
        <w:rPr>
          <w:sz w:val="22"/>
          <w:szCs w:val="22"/>
          <w:lang w:val="en-GB"/>
        </w:rPr>
      </w:pPr>
      <w:r w:rsidRPr="00B33EE6">
        <w:rPr>
          <w:sz w:val="22"/>
          <w:szCs w:val="22"/>
          <w:lang w:val="en-GB"/>
        </w:rPr>
        <w:t>.</w:t>
      </w:r>
    </w:p>
    <w:p w14:paraId="36FE5E2E"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576FDB42" w14:textId="546306F9" w:rsidR="006F5FD0" w:rsidRPr="00B33EE6" w:rsidRDefault="00831982" w:rsidP="0007067C">
      <w:pPr>
        <w:pStyle w:val="Blockquote"/>
        <w:ind w:left="426" w:right="1"/>
        <w:jc w:val="both"/>
        <w:rPr>
          <w:sz w:val="22"/>
          <w:szCs w:val="22"/>
          <w:lang w:val="en-GB"/>
        </w:rPr>
      </w:pPr>
      <w:r w:rsidRPr="003F1149">
        <w:rPr>
          <w:sz w:val="22"/>
          <w:szCs w:val="22"/>
          <w:lang w:val="en-GB"/>
        </w:rPr>
        <w:t>Price</w:t>
      </w:r>
    </w:p>
    <w:p w14:paraId="793B56EE" w14:textId="77777777" w:rsidR="006F5FD0" w:rsidRPr="00B33EE6" w:rsidRDefault="00000000">
      <w:pPr>
        <w:rPr>
          <w:sz w:val="22"/>
          <w:szCs w:val="22"/>
          <w:lang w:val="en-GB"/>
        </w:rPr>
      </w:pPr>
      <w:r>
        <w:rPr>
          <w:snapToGrid/>
          <w:sz w:val="22"/>
          <w:szCs w:val="22"/>
          <w:lang w:val="en-GB"/>
        </w:rPr>
        <w:pict w14:anchorId="45BE0657">
          <v:line id="_x0000_s2055" style="position:absolute;z-index:5" from="0,12pt" to="468pt,12.05pt" o:allowincell="f" strokecolor="#d4d4d4" strokeweight="1.75pt">
            <v:shadow on="t" origin=",32385f" offset="0,-1pt"/>
          </v:line>
        </w:pict>
      </w:r>
    </w:p>
    <w:p w14:paraId="7482CE23" w14:textId="77777777" w:rsidR="006F5FD0" w:rsidRPr="00B33EE6" w:rsidRDefault="00994EA3">
      <w:pPr>
        <w:keepNext/>
        <w:jc w:val="center"/>
        <w:rPr>
          <w:sz w:val="28"/>
          <w:szCs w:val="28"/>
          <w:lang w:val="en-GB"/>
        </w:rPr>
      </w:pPr>
      <w:r w:rsidRPr="00B33EE6">
        <w:rPr>
          <w:rStyle w:val="Strong"/>
          <w:sz w:val="28"/>
          <w:szCs w:val="28"/>
          <w:lang w:val="en-GB"/>
        </w:rPr>
        <w:t>TENDERING</w:t>
      </w:r>
    </w:p>
    <w:p w14:paraId="592B0149" w14:textId="77777777"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4E98D5DA"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w:t>
      </w:r>
      <w:r w:rsidR="009E65BC">
        <w:rPr>
          <w:rStyle w:val="Emphasis"/>
          <w:i w:val="0"/>
          <w:sz w:val="22"/>
          <w:szCs w:val="22"/>
          <w:lang w:val="en-GB"/>
        </w:rPr>
        <w:t>15</w:t>
      </w:r>
      <w:r w:rsidR="00E51950" w:rsidRPr="00E51950">
        <w:rPr>
          <w:rStyle w:val="Emphasis"/>
          <w:i w:val="0"/>
          <w:sz w:val="22"/>
          <w:szCs w:val="22"/>
          <w:lang w:val="en-GB"/>
        </w:rPr>
        <w:t>/</w:t>
      </w:r>
      <w:r w:rsidR="009E65BC">
        <w:rPr>
          <w:rStyle w:val="Emphasis"/>
          <w:i w:val="0"/>
          <w:sz w:val="22"/>
          <w:szCs w:val="22"/>
          <w:lang w:val="en-GB"/>
        </w:rPr>
        <w:t>7</w:t>
      </w:r>
      <w:r w:rsidR="00E51950" w:rsidRPr="00E51950">
        <w:rPr>
          <w:rStyle w:val="Emphasis"/>
          <w:i w:val="0"/>
          <w:sz w:val="22"/>
          <w:szCs w:val="22"/>
          <w:lang w:val="en-GB"/>
        </w:rPr>
        <w:t>/2025</w:t>
      </w:r>
      <w:r w:rsidR="00C52B1A" w:rsidRPr="00E51950">
        <w:rPr>
          <w:rStyle w:val="Emphasis"/>
          <w:i w:val="0"/>
          <w:sz w:val="22"/>
          <w:szCs w:val="22"/>
          <w:lang w:val="en-GB"/>
        </w:rPr>
        <w:t xml:space="preserve"> </w:t>
      </w:r>
      <w:r w:rsidR="00E51950" w:rsidRPr="00E51950">
        <w:rPr>
          <w:rStyle w:val="Emphasis"/>
          <w:i w:val="0"/>
          <w:sz w:val="22"/>
          <w:szCs w:val="22"/>
          <w:lang w:val="en-GB"/>
        </w:rPr>
        <w:t>till</w:t>
      </w:r>
      <w:r w:rsidR="00C52B1A" w:rsidRPr="00E51950">
        <w:rPr>
          <w:rStyle w:val="Emphasis"/>
          <w:i w:val="0"/>
          <w:sz w:val="22"/>
          <w:szCs w:val="22"/>
          <w:lang w:val="en-GB"/>
        </w:rPr>
        <w:t xml:space="preserve"> </w:t>
      </w:r>
      <w:r w:rsidR="00E51950" w:rsidRPr="00E51950">
        <w:rPr>
          <w:rStyle w:val="Emphasis"/>
          <w:i w:val="0"/>
          <w:sz w:val="22"/>
          <w:szCs w:val="22"/>
          <w:lang w:val="en-GB"/>
        </w:rPr>
        <w:t>1</w:t>
      </w:r>
      <w:r w:rsidR="009E65BC">
        <w:rPr>
          <w:rStyle w:val="Emphasis"/>
          <w:i w:val="0"/>
          <w:sz w:val="22"/>
          <w:szCs w:val="22"/>
          <w:lang w:val="en-GB"/>
        </w:rPr>
        <w:t>4</w:t>
      </w:r>
      <w:r w:rsidR="00E51950" w:rsidRPr="00E51950">
        <w:rPr>
          <w:rStyle w:val="Emphasis"/>
          <w:i w:val="0"/>
          <w:sz w:val="22"/>
          <w:szCs w:val="22"/>
          <w:lang w:val="en-GB"/>
        </w:rPr>
        <w:t>:00 AM</w:t>
      </w:r>
      <w:r w:rsidRPr="00B33EE6">
        <w:rPr>
          <w:rStyle w:val="Emphasis"/>
          <w:i w:val="0"/>
          <w:sz w:val="22"/>
          <w:szCs w:val="22"/>
          <w:lang w:val="en-GB"/>
        </w:rPr>
        <w:t>.</w:t>
      </w:r>
      <w:r w:rsidRPr="00B33EE6" w:rsidDel="00994EA3">
        <w:rPr>
          <w:rStyle w:val="Emphasis"/>
          <w:i w:val="0"/>
          <w:sz w:val="22"/>
          <w:szCs w:val="22"/>
          <w:highlight w:val="yellow"/>
          <w:lang w:val="en-GB"/>
        </w:rPr>
        <w:t xml:space="preserve">    </w:t>
      </w:r>
    </w:p>
    <w:p w14:paraId="7D60F8E6"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0C3990F6" w14:textId="7F402B76"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r w:rsidR="006F5FD0" w:rsidRPr="00B33EE6">
        <w:rPr>
          <w:sz w:val="22"/>
          <w:szCs w:val="22"/>
          <w:lang w:val="en-GB"/>
        </w:rPr>
        <w:t xml:space="preserve"> </w:t>
      </w:r>
    </w:p>
    <w:p w14:paraId="177AD528" w14:textId="77777777"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E502450" w14:textId="6646FBA2" w:rsidR="004D5EDB" w:rsidRPr="00886ED7" w:rsidRDefault="00886ED7" w:rsidP="004D5EDB">
      <w:pPr>
        <w:pStyle w:val="Blockquote"/>
        <w:jc w:val="both"/>
        <w:rPr>
          <w:sz w:val="22"/>
          <w:szCs w:val="22"/>
          <w:lang w:val="en-GB"/>
        </w:rPr>
      </w:pPr>
      <w:r w:rsidRPr="002E25ED">
        <w:rPr>
          <w:sz w:val="22"/>
          <w:szCs w:val="22"/>
          <w:lang w:val="en-GB"/>
        </w:rPr>
        <w:lastRenderedPageBreak/>
        <w:t xml:space="preserve"> </w:t>
      </w:r>
      <w:hyperlink r:id="rId11" w:anchor="Annexes-AnnexesA(Ch.2):General" w:history="1">
        <w:r w:rsidRPr="002E25ED">
          <w:rPr>
            <w:rStyle w:val="Hyperlink"/>
            <w:sz w:val="22"/>
            <w:szCs w:val="22"/>
            <w:lang w:val="en-GB"/>
          </w:rPr>
          <w:t>https://wikis.ec.europa.eu/display/ExactExternalWiki/Annexes#Annexes-AnnexesA(Ch.2):General</w:t>
        </w:r>
      </w:hyperlink>
    </w:p>
    <w:p w14:paraId="438E0786"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7919897A" w14:textId="5BD0520A"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w:t>
      </w:r>
      <w:r w:rsidR="00771F85">
        <w:rPr>
          <w:sz w:val="22"/>
          <w:szCs w:val="22"/>
          <w:lang w:val="en-GB"/>
        </w:rPr>
        <w:t>10</w:t>
      </w:r>
      <w:r w:rsidRPr="00B33EE6">
        <w:rPr>
          <w:sz w:val="22"/>
          <w:szCs w:val="22"/>
          <w:lang w:val="en-GB"/>
        </w:rPr>
        <w:t xml:space="preserve">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5330CE43" w:rsidR="00502BBF" w:rsidRPr="00B33EE6" w:rsidRDefault="00502BBF" w:rsidP="00B33EE6">
      <w:pPr>
        <w:pStyle w:val="Blockquote"/>
        <w:jc w:val="both"/>
        <w:rPr>
          <w:rStyle w:val="Strong"/>
          <w:b w:val="0"/>
          <w:sz w:val="22"/>
          <w:szCs w:val="22"/>
          <w:lang w:val="en-GB"/>
        </w:rPr>
      </w:pPr>
      <w:r w:rsidRPr="00B33EE6">
        <w:rPr>
          <w:sz w:val="22"/>
          <w:szCs w:val="22"/>
          <w:lang w:val="en-GB"/>
        </w:rPr>
        <w:t xml:space="preserve">By submitting a </w:t>
      </w:r>
      <w:r w:rsidR="00E51950" w:rsidRPr="00B33EE6">
        <w:rPr>
          <w:sz w:val="22"/>
          <w:szCs w:val="22"/>
          <w:lang w:val="en-GB"/>
        </w:rPr>
        <w:t>tender tenderer</w:t>
      </w:r>
      <w:r w:rsidRPr="00B33EE6">
        <w:rPr>
          <w:sz w:val="22"/>
          <w:szCs w:val="22"/>
          <w:lang w:val="en-GB"/>
        </w:rPr>
        <w:t xml:space="preserve"> accept to receive notification of the outcome of the procedure by electronic means.</w:t>
      </w:r>
    </w:p>
    <w:p w14:paraId="78DFA6DC" w14:textId="77777777"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36DD3BEA"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77777777"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38DC66B2" w14:textId="6C262863"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14:paraId="7A5C8404" w14:textId="6FF3D5DA" w:rsidR="00AF412E" w:rsidRDefault="00AF412E" w:rsidP="0007067C">
      <w:pPr>
        <w:widowControl/>
        <w:snapToGrid w:val="0"/>
        <w:spacing w:after="0"/>
        <w:ind w:left="284" w:right="360"/>
        <w:jc w:val="both"/>
        <w:rPr>
          <w:sz w:val="22"/>
          <w:szCs w:val="22"/>
          <w:lang w:val="en-GB"/>
        </w:rPr>
      </w:pPr>
      <w:r w:rsidRPr="00E51950">
        <w:rPr>
          <w:sz w:val="22"/>
          <w:szCs w:val="22"/>
          <w:lang w:val="en-GB"/>
        </w:rPr>
        <w:t xml:space="preserve">Financial data to be provided by the candidate in the standard application </w:t>
      </w:r>
      <w:r w:rsidR="00E51950" w:rsidRPr="00E51950">
        <w:rPr>
          <w:sz w:val="22"/>
          <w:szCs w:val="22"/>
          <w:lang w:val="en-GB"/>
        </w:rPr>
        <w:t>form must</w:t>
      </w:r>
      <w:r w:rsidRPr="00E51950">
        <w:rPr>
          <w:sz w:val="22"/>
          <w:szCs w:val="22"/>
          <w:lang w:val="en-GB"/>
        </w:rPr>
        <w:t xml:space="preserve"> be expressed in EUR</w:t>
      </w:r>
      <w:r w:rsidR="00E51950" w:rsidRPr="00E51950">
        <w:rPr>
          <w:sz w:val="22"/>
          <w:szCs w:val="22"/>
          <w:lang w:val="en-GB"/>
        </w:rPr>
        <w:t xml:space="preserve"> or RSD</w:t>
      </w:r>
      <w:r w:rsidRPr="00E51950">
        <w:rPr>
          <w:sz w:val="22"/>
          <w:szCs w:val="22"/>
          <w:lang w:val="en-GB"/>
        </w:rPr>
        <w:t xml:space="preserve">. If applicable, where a candidate refers to amounts originally expressed in </w:t>
      </w:r>
      <w:r w:rsidR="00907B17" w:rsidRPr="00E51950">
        <w:rPr>
          <w:sz w:val="22"/>
          <w:szCs w:val="22"/>
          <w:lang w:val="en-GB"/>
        </w:rPr>
        <w:t>an</w:t>
      </w:r>
      <w:r w:rsidRPr="00E51950">
        <w:rPr>
          <w:sz w:val="22"/>
          <w:szCs w:val="22"/>
          <w:lang w:val="en-GB"/>
        </w:rPr>
        <w:t xml:space="preserve"> </w:t>
      </w:r>
      <w:r w:rsidR="00E51950">
        <w:rPr>
          <w:sz w:val="22"/>
          <w:szCs w:val="22"/>
          <w:lang w:val="en-GB"/>
        </w:rPr>
        <w:t>RSD</w:t>
      </w:r>
      <w:r w:rsidRPr="00E51950">
        <w:rPr>
          <w:sz w:val="22"/>
          <w:szCs w:val="22"/>
          <w:lang w:val="en-GB"/>
        </w:rPr>
        <w:t xml:space="preserve">, the conversion to EUR </w:t>
      </w:r>
      <w:r w:rsidR="00E51950" w:rsidRPr="00E51950">
        <w:rPr>
          <w:sz w:val="22"/>
          <w:szCs w:val="22"/>
          <w:lang w:val="en-GB"/>
        </w:rPr>
        <w:t>from RSD</w:t>
      </w:r>
      <w:r w:rsidRPr="00E51950">
        <w:rPr>
          <w:sz w:val="22"/>
          <w:szCs w:val="22"/>
          <w:lang w:val="en-GB"/>
        </w:rPr>
        <w:t xml:space="preserve"> shall be made in accordance with the </w:t>
      </w:r>
      <w:r w:rsidR="00E51950" w:rsidRPr="00E51950">
        <w:rPr>
          <w:sz w:val="22"/>
          <w:szCs w:val="22"/>
          <w:lang w:val="en-GB"/>
        </w:rPr>
        <w:t>middle exchange rate</w:t>
      </w:r>
      <w:r w:rsidR="00907B17">
        <w:rPr>
          <w:sz w:val="22"/>
          <w:szCs w:val="22"/>
          <w:lang w:val="en-GB"/>
        </w:rPr>
        <w:t xml:space="preserve"> EUR/RSD</w:t>
      </w:r>
      <w:r w:rsidR="00E51950" w:rsidRPr="00E51950">
        <w:rPr>
          <w:sz w:val="22"/>
          <w:szCs w:val="22"/>
          <w:lang w:val="en-GB"/>
        </w:rPr>
        <w:t xml:space="preserve"> National bank of Serbia on the </w:t>
      </w:r>
      <w:r w:rsidR="009E65BC">
        <w:rPr>
          <w:sz w:val="22"/>
          <w:szCs w:val="22"/>
          <w:lang w:val="en-GB"/>
        </w:rPr>
        <w:t>15</w:t>
      </w:r>
      <w:r w:rsidR="00E51950" w:rsidRPr="00E51950">
        <w:rPr>
          <w:sz w:val="22"/>
          <w:szCs w:val="22"/>
          <w:lang w:val="en-GB"/>
        </w:rPr>
        <w:t>/</w:t>
      </w:r>
      <w:r w:rsidR="009E65BC">
        <w:rPr>
          <w:sz w:val="22"/>
          <w:szCs w:val="22"/>
          <w:lang w:val="en-GB"/>
        </w:rPr>
        <w:t>7</w:t>
      </w:r>
      <w:r w:rsidR="00E51950" w:rsidRPr="00E51950">
        <w:rPr>
          <w:sz w:val="22"/>
          <w:szCs w:val="22"/>
          <w:lang w:val="en-GB"/>
        </w:rPr>
        <w:t>/2025</w:t>
      </w:r>
      <w:r w:rsidRPr="00E51950">
        <w:rPr>
          <w:sz w:val="22"/>
          <w:szCs w:val="22"/>
          <w:lang w:val="en-GB"/>
        </w:rPr>
        <w:t>.</w:t>
      </w:r>
    </w:p>
    <w:p w14:paraId="6681F8CA" w14:textId="46989A53" w:rsidR="00F05A6E" w:rsidRPr="008660AD" w:rsidRDefault="00F05A6E" w:rsidP="0007067C">
      <w:pPr>
        <w:widowControl/>
        <w:snapToGrid w:val="0"/>
        <w:spacing w:after="0"/>
        <w:ind w:left="284" w:right="360"/>
        <w:jc w:val="both"/>
        <w:rPr>
          <w:sz w:val="22"/>
          <w:szCs w:val="22"/>
          <w:lang w:val="en-GB"/>
        </w:rPr>
      </w:pPr>
      <w:r>
        <w:rPr>
          <w:sz w:val="22"/>
          <w:szCs w:val="22"/>
          <w:lang w:val="en-GB"/>
        </w:rPr>
        <w:t xml:space="preserve">Opening time of the Statistical office of the Republic of Serbia at address, </w:t>
      </w:r>
      <w:r w:rsidRPr="00F05A6E">
        <w:rPr>
          <w:sz w:val="22"/>
          <w:szCs w:val="22"/>
          <w:lang w:val="en-GB"/>
        </w:rPr>
        <w:t xml:space="preserve">Milana </w:t>
      </w:r>
      <w:proofErr w:type="spellStart"/>
      <w:r w:rsidRPr="00F05A6E">
        <w:rPr>
          <w:sz w:val="22"/>
          <w:szCs w:val="22"/>
          <w:lang w:val="en-GB"/>
        </w:rPr>
        <w:t>Rakića</w:t>
      </w:r>
      <w:proofErr w:type="spellEnd"/>
      <w:r w:rsidRPr="00F05A6E">
        <w:rPr>
          <w:sz w:val="22"/>
          <w:szCs w:val="22"/>
          <w:lang w:val="en-GB"/>
        </w:rPr>
        <w:t xml:space="preserve"> 5, </w:t>
      </w:r>
      <w:r w:rsidR="00907B17" w:rsidRPr="00F05A6E">
        <w:rPr>
          <w:sz w:val="22"/>
          <w:szCs w:val="22"/>
          <w:lang w:val="en-GB"/>
        </w:rPr>
        <w:t>Belgrade, are</w:t>
      </w:r>
      <w:r>
        <w:rPr>
          <w:sz w:val="22"/>
          <w:szCs w:val="22"/>
          <w:lang w:val="en-GB"/>
        </w:rPr>
        <w:t xml:space="preserve"> </w:t>
      </w:r>
      <w:r w:rsidRPr="00F05A6E">
        <w:rPr>
          <w:sz w:val="22"/>
          <w:szCs w:val="22"/>
          <w:lang w:val="en-GB"/>
        </w:rPr>
        <w:t>07:30-15:30</w:t>
      </w:r>
      <w:r>
        <w:rPr>
          <w:sz w:val="22"/>
          <w:szCs w:val="22"/>
          <w:lang w:val="en-GB"/>
        </w:rPr>
        <w:t>.</w:t>
      </w:r>
    </w:p>
    <w:p w14:paraId="334818C5" w14:textId="3E833DCE" w:rsidR="00E51950" w:rsidRPr="00E51950" w:rsidRDefault="00E51950" w:rsidP="00E51950">
      <w:pPr>
        <w:pStyle w:val="Blockquote"/>
        <w:jc w:val="both"/>
        <w:rPr>
          <w:sz w:val="22"/>
          <w:szCs w:val="22"/>
          <w:lang w:val="en-GB"/>
        </w:rPr>
      </w:pPr>
      <w:r w:rsidRPr="00E51950">
        <w:rPr>
          <w:sz w:val="22"/>
          <w:szCs w:val="22"/>
          <w:lang w:val="en-GB"/>
        </w:rPr>
        <w:t>The contract title and the Publication reference must be clearly marked on the envelope containing the tender and must always be mentioned in all subsequent correspondence with the contracting authority.</w:t>
      </w:r>
    </w:p>
    <w:p w14:paraId="6FEB1F58" w14:textId="77777777" w:rsidR="00E51950" w:rsidRPr="00E51950" w:rsidRDefault="00E51950" w:rsidP="00E51950">
      <w:pPr>
        <w:pStyle w:val="Blockquote"/>
        <w:jc w:val="both"/>
        <w:rPr>
          <w:sz w:val="22"/>
          <w:szCs w:val="22"/>
          <w:lang w:val="en-GB"/>
        </w:rPr>
      </w:pPr>
      <w:r w:rsidRPr="00E51950">
        <w:rPr>
          <w:sz w:val="22"/>
          <w:szCs w:val="22"/>
          <w:lang w:val="en-GB"/>
        </w:rPr>
        <w:t>Tenders submitted by any other means will not be considered.</w:t>
      </w:r>
    </w:p>
    <w:sectPr w:rsidR="00E51950" w:rsidRPr="00E51950" w:rsidSect="00E147D3">
      <w:headerReference w:type="even" r:id="rId12"/>
      <w:headerReference w:type="default" r:id="rId13"/>
      <w:footerReference w:type="even" r:id="rId14"/>
      <w:footerReference w:type="default" r:id="rId15"/>
      <w:headerReference w:type="first" r:id="rId16"/>
      <w:footerReference w:type="first" r:id="rId17"/>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82D5" w14:textId="77777777" w:rsidR="00BA4DB2" w:rsidRDefault="00BA4DB2">
      <w:r>
        <w:separator/>
      </w:r>
    </w:p>
  </w:endnote>
  <w:endnote w:type="continuationSeparator" w:id="0">
    <w:p w14:paraId="75FE3120" w14:textId="77777777" w:rsidR="00BA4DB2" w:rsidRDefault="00BA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06A9" w14:textId="77777777" w:rsidR="00711A01" w:rsidRDefault="00711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BA12" w14:textId="06F328B4"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B14E4">
      <w:rPr>
        <w:b/>
        <w:sz w:val="20"/>
      </w:rPr>
      <w:t>1</w:t>
    </w:r>
    <w:r w:rsidR="00711A01">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2E25ED">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2E25ED">
      <w:rPr>
        <w:rStyle w:val="PageNumber"/>
        <w:noProof/>
        <w:sz w:val="18"/>
        <w:szCs w:val="18"/>
        <w:lang w:val="en-GB"/>
      </w:rPr>
      <w:t>8</w:t>
    </w:r>
    <w:r w:rsidR="00B33EE6" w:rsidRPr="00B33EE6">
      <w:rPr>
        <w:rStyle w:val="PageNumber"/>
        <w:sz w:val="18"/>
        <w:szCs w:val="18"/>
        <w:lang w:val="en-GB"/>
      </w:rPr>
      <w:fldChar w:fldCharType="end"/>
    </w:r>
  </w:p>
  <w:p w14:paraId="77551F46" w14:textId="1F27A58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31982">
      <w:rPr>
        <w:noProof/>
        <w:sz w:val="18"/>
        <w:szCs w:val="18"/>
        <w:lang w:val="en-GB"/>
      </w:rPr>
      <w:t>c2</w:t>
    </w:r>
    <w:r w:rsidR="008152EF">
      <w:rPr>
        <w:noProof/>
        <w:sz w:val="18"/>
        <w:szCs w:val="18"/>
        <w:lang w:val="en-GB"/>
      </w:rPr>
      <w:t>_contractnotice_simp_</w:t>
    </w:r>
    <w:r w:rsidR="00831982">
      <w:rPr>
        <w:noProof/>
        <w:sz w:val="18"/>
        <w:szCs w:val="18"/>
        <w:lang w:val="en-GB"/>
      </w:rPr>
      <w:t>neg_</w:t>
    </w:r>
    <w:r w:rsidR="008152EF">
      <w:rPr>
        <w:noProof/>
        <w:sz w:val="18"/>
        <w:szCs w:val="18"/>
        <w:lang w:val="en-GB"/>
      </w:rPr>
      <w:t>en.doc</w:t>
    </w:r>
    <w:r w:rsidRPr="00B33EE6">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481F" w14:textId="77777777" w:rsidR="00711A01" w:rsidRDefault="00711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8B322" w14:textId="77777777" w:rsidR="00BA4DB2" w:rsidRDefault="00BA4DB2">
      <w:r>
        <w:separator/>
      </w:r>
    </w:p>
  </w:footnote>
  <w:footnote w:type="continuationSeparator" w:id="0">
    <w:p w14:paraId="17BB1F0D" w14:textId="77777777" w:rsidR="00BA4DB2" w:rsidRDefault="00BA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D13E" w14:textId="77777777" w:rsidR="00711A01" w:rsidRDefault="00711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BDD5" w14:textId="77777777" w:rsidR="00711A01" w:rsidRDefault="00711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98ED" w14:textId="77777777" w:rsidR="00711A01" w:rsidRDefault="00711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67203AE"/>
    <w:multiLevelType w:val="hybridMultilevel"/>
    <w:tmpl w:val="B20A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8"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7AE11C4"/>
    <w:multiLevelType w:val="multilevel"/>
    <w:tmpl w:val="69FA2E4C"/>
    <w:lvl w:ilvl="0">
      <w:start w:val="1"/>
      <w:numFmt w:val="bullet"/>
      <w:lvlText w:val=""/>
      <w:lvlJc w:val="left"/>
      <w:pPr>
        <w:tabs>
          <w:tab w:val="num" w:pos="1800"/>
        </w:tabs>
        <w:ind w:left="1800" w:hanging="360"/>
      </w:pPr>
      <w:rPr>
        <w:rFonts w:ascii="Symbol" w:hAnsi="Symbol" w:hint="default"/>
      </w:rPr>
    </w:lvl>
    <w:lvl w:ilvl="1">
      <w:start w:val="6"/>
      <w:numFmt w:val="low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4"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BC95B30"/>
    <w:multiLevelType w:val="hybridMultilevel"/>
    <w:tmpl w:val="23EC8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num w:numId="1" w16cid:durableId="2105224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21415263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99957223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40777021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7930886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29205399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62392566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993958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88779493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459911066">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709383717">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2092387948">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2049720436">
    <w:abstractNumId w:val="17"/>
  </w:num>
  <w:num w:numId="14" w16cid:durableId="96030159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437364727">
    <w:abstractNumId w:val="13"/>
  </w:num>
  <w:num w:numId="16" w16cid:durableId="309797935">
    <w:abstractNumId w:val="15"/>
  </w:num>
  <w:num w:numId="17" w16cid:durableId="1093937685">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183633727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2016957593">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917790026">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1010520706">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200895180">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285744001">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101603542">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1403335506">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908030922">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981690613">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209344854">
    <w:abstractNumId w:val="27"/>
  </w:num>
  <w:num w:numId="29" w16cid:durableId="1513452149">
    <w:abstractNumId w:val="27"/>
  </w:num>
  <w:num w:numId="30" w16cid:durableId="1902056649">
    <w:abstractNumId w:val="27"/>
  </w:num>
  <w:num w:numId="31" w16cid:durableId="380708525">
    <w:abstractNumId w:val="27"/>
  </w:num>
  <w:num w:numId="32" w16cid:durableId="2082025178">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432673296">
    <w:abstractNumId w:val="37"/>
  </w:num>
  <w:num w:numId="34" w16cid:durableId="1944026782">
    <w:abstractNumId w:val="42"/>
  </w:num>
  <w:num w:numId="35" w16cid:durableId="1951431791">
    <w:abstractNumId w:val="36"/>
  </w:num>
  <w:num w:numId="36" w16cid:durableId="1003507620">
    <w:abstractNumId w:val="34"/>
  </w:num>
  <w:num w:numId="37" w16cid:durableId="542404601">
    <w:abstractNumId w:val="38"/>
  </w:num>
  <w:num w:numId="38" w16cid:durableId="1107312242">
    <w:abstractNumId w:val="40"/>
  </w:num>
  <w:num w:numId="39" w16cid:durableId="392508499">
    <w:abstractNumId w:val="45"/>
  </w:num>
  <w:num w:numId="40" w16cid:durableId="356275777">
    <w:abstractNumId w:val="48"/>
  </w:num>
  <w:num w:numId="41" w16cid:durableId="1147355424">
    <w:abstractNumId w:val="41"/>
  </w:num>
  <w:num w:numId="42" w16cid:durableId="1492600050">
    <w:abstractNumId w:val="44"/>
  </w:num>
  <w:num w:numId="43" w16cid:durableId="1454250546">
    <w:abstractNumId w:val="39"/>
  </w:num>
  <w:num w:numId="44" w16cid:durableId="2020306669">
    <w:abstractNumId w:val="35"/>
  </w:num>
  <w:num w:numId="45" w16cid:durableId="1035273953">
    <w:abstractNumId w:val="49"/>
  </w:num>
  <w:num w:numId="46" w16cid:durableId="1785274028">
    <w:abstractNumId w:val="46"/>
  </w:num>
  <w:num w:numId="47" w16cid:durableId="816458070">
    <w:abstractNumId w:val="33"/>
  </w:num>
  <w:num w:numId="48" w16cid:durableId="1773089015">
    <w:abstractNumId w:val="43"/>
  </w:num>
  <w:num w:numId="49" w16cid:durableId="162275947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63FB5"/>
    <w:rsid w:val="0007067C"/>
    <w:rsid w:val="00080900"/>
    <w:rsid w:val="00087A72"/>
    <w:rsid w:val="00095030"/>
    <w:rsid w:val="000A0D57"/>
    <w:rsid w:val="000A3758"/>
    <w:rsid w:val="000B14E4"/>
    <w:rsid w:val="000B693E"/>
    <w:rsid w:val="000B7C91"/>
    <w:rsid w:val="000C1101"/>
    <w:rsid w:val="000C1522"/>
    <w:rsid w:val="000D1732"/>
    <w:rsid w:val="000D3EBF"/>
    <w:rsid w:val="000E4709"/>
    <w:rsid w:val="000F0F6C"/>
    <w:rsid w:val="000F1340"/>
    <w:rsid w:val="000F5DEF"/>
    <w:rsid w:val="0010162C"/>
    <w:rsid w:val="00105302"/>
    <w:rsid w:val="0013314C"/>
    <w:rsid w:val="001429BC"/>
    <w:rsid w:val="0014405E"/>
    <w:rsid w:val="00145CFA"/>
    <w:rsid w:val="0014628D"/>
    <w:rsid w:val="00150687"/>
    <w:rsid w:val="001661F7"/>
    <w:rsid w:val="00171F2E"/>
    <w:rsid w:val="001724C5"/>
    <w:rsid w:val="00180D47"/>
    <w:rsid w:val="001903F3"/>
    <w:rsid w:val="001951FE"/>
    <w:rsid w:val="001A59BB"/>
    <w:rsid w:val="001A66C2"/>
    <w:rsid w:val="001B2571"/>
    <w:rsid w:val="001C21A2"/>
    <w:rsid w:val="001C64F1"/>
    <w:rsid w:val="001D19A6"/>
    <w:rsid w:val="001D55F7"/>
    <w:rsid w:val="001E50A2"/>
    <w:rsid w:val="001F0839"/>
    <w:rsid w:val="001F1546"/>
    <w:rsid w:val="001F780C"/>
    <w:rsid w:val="00201320"/>
    <w:rsid w:val="00212656"/>
    <w:rsid w:val="00213E14"/>
    <w:rsid w:val="00216179"/>
    <w:rsid w:val="00226829"/>
    <w:rsid w:val="00233B9D"/>
    <w:rsid w:val="00233DDA"/>
    <w:rsid w:val="00235A71"/>
    <w:rsid w:val="002413EA"/>
    <w:rsid w:val="00243849"/>
    <w:rsid w:val="00255970"/>
    <w:rsid w:val="002575AA"/>
    <w:rsid w:val="00266EB9"/>
    <w:rsid w:val="0026767C"/>
    <w:rsid w:val="002753AD"/>
    <w:rsid w:val="00286C33"/>
    <w:rsid w:val="002B2145"/>
    <w:rsid w:val="002D266E"/>
    <w:rsid w:val="002D4121"/>
    <w:rsid w:val="002E1B83"/>
    <w:rsid w:val="002E25ED"/>
    <w:rsid w:val="002E2635"/>
    <w:rsid w:val="002E7779"/>
    <w:rsid w:val="002E7D33"/>
    <w:rsid w:val="002F3507"/>
    <w:rsid w:val="002F4E69"/>
    <w:rsid w:val="003045C3"/>
    <w:rsid w:val="00313F6B"/>
    <w:rsid w:val="00322D52"/>
    <w:rsid w:val="003232ED"/>
    <w:rsid w:val="00323BDD"/>
    <w:rsid w:val="003262FC"/>
    <w:rsid w:val="00326B16"/>
    <w:rsid w:val="00330261"/>
    <w:rsid w:val="003378F6"/>
    <w:rsid w:val="00342E7F"/>
    <w:rsid w:val="00347673"/>
    <w:rsid w:val="003574F5"/>
    <w:rsid w:val="00357E25"/>
    <w:rsid w:val="00362824"/>
    <w:rsid w:val="00363ECB"/>
    <w:rsid w:val="00364564"/>
    <w:rsid w:val="003670BA"/>
    <w:rsid w:val="003717BC"/>
    <w:rsid w:val="00382E0A"/>
    <w:rsid w:val="003861D9"/>
    <w:rsid w:val="0038633F"/>
    <w:rsid w:val="00386E96"/>
    <w:rsid w:val="0038796E"/>
    <w:rsid w:val="0039147E"/>
    <w:rsid w:val="0039347D"/>
    <w:rsid w:val="003947E7"/>
    <w:rsid w:val="00397073"/>
    <w:rsid w:val="003A4357"/>
    <w:rsid w:val="003B1B35"/>
    <w:rsid w:val="003C1515"/>
    <w:rsid w:val="003D16FB"/>
    <w:rsid w:val="003D56DB"/>
    <w:rsid w:val="003D6CAD"/>
    <w:rsid w:val="003E782D"/>
    <w:rsid w:val="0040360C"/>
    <w:rsid w:val="004108A4"/>
    <w:rsid w:val="00424124"/>
    <w:rsid w:val="0043533D"/>
    <w:rsid w:val="00452ED8"/>
    <w:rsid w:val="0045494F"/>
    <w:rsid w:val="004567DF"/>
    <w:rsid w:val="00472630"/>
    <w:rsid w:val="00473883"/>
    <w:rsid w:val="00476D80"/>
    <w:rsid w:val="00480B5C"/>
    <w:rsid w:val="004850B4"/>
    <w:rsid w:val="004901C2"/>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A21DC"/>
    <w:rsid w:val="005B35A2"/>
    <w:rsid w:val="005B4F80"/>
    <w:rsid w:val="005B5E3C"/>
    <w:rsid w:val="005C71EF"/>
    <w:rsid w:val="005D41DD"/>
    <w:rsid w:val="005F776D"/>
    <w:rsid w:val="006008FF"/>
    <w:rsid w:val="0060359F"/>
    <w:rsid w:val="00605AEE"/>
    <w:rsid w:val="00605EAC"/>
    <w:rsid w:val="0061336A"/>
    <w:rsid w:val="006309DE"/>
    <w:rsid w:val="00632BDC"/>
    <w:rsid w:val="0064390B"/>
    <w:rsid w:val="00663C6D"/>
    <w:rsid w:val="006714ED"/>
    <w:rsid w:val="006738B9"/>
    <w:rsid w:val="00674F9C"/>
    <w:rsid w:val="006751D2"/>
    <w:rsid w:val="006770CA"/>
    <w:rsid w:val="00686203"/>
    <w:rsid w:val="00686C3A"/>
    <w:rsid w:val="00697F82"/>
    <w:rsid w:val="006A0598"/>
    <w:rsid w:val="006A66DA"/>
    <w:rsid w:val="006A7394"/>
    <w:rsid w:val="006B2EDA"/>
    <w:rsid w:val="006B59B9"/>
    <w:rsid w:val="006C0EB6"/>
    <w:rsid w:val="006C0F37"/>
    <w:rsid w:val="006C2024"/>
    <w:rsid w:val="006D330F"/>
    <w:rsid w:val="006D6080"/>
    <w:rsid w:val="006E3377"/>
    <w:rsid w:val="006E625F"/>
    <w:rsid w:val="006F5FD0"/>
    <w:rsid w:val="006F7885"/>
    <w:rsid w:val="007046C8"/>
    <w:rsid w:val="00706E7C"/>
    <w:rsid w:val="00710A38"/>
    <w:rsid w:val="00711A01"/>
    <w:rsid w:val="007121FB"/>
    <w:rsid w:val="007129D6"/>
    <w:rsid w:val="00712CB3"/>
    <w:rsid w:val="00715755"/>
    <w:rsid w:val="00722744"/>
    <w:rsid w:val="00745F67"/>
    <w:rsid w:val="007471C5"/>
    <w:rsid w:val="00750FF8"/>
    <w:rsid w:val="00753FC2"/>
    <w:rsid w:val="00756C38"/>
    <w:rsid w:val="00761673"/>
    <w:rsid w:val="00761893"/>
    <w:rsid w:val="007653F4"/>
    <w:rsid w:val="00770822"/>
    <w:rsid w:val="00771F85"/>
    <w:rsid w:val="00771F97"/>
    <w:rsid w:val="007727F3"/>
    <w:rsid w:val="00780EAB"/>
    <w:rsid w:val="00781603"/>
    <w:rsid w:val="007874C8"/>
    <w:rsid w:val="00794A92"/>
    <w:rsid w:val="00796976"/>
    <w:rsid w:val="00796CC5"/>
    <w:rsid w:val="007A04AC"/>
    <w:rsid w:val="007A4037"/>
    <w:rsid w:val="007C352C"/>
    <w:rsid w:val="007D51F2"/>
    <w:rsid w:val="007D6292"/>
    <w:rsid w:val="007D761E"/>
    <w:rsid w:val="007F095B"/>
    <w:rsid w:val="007F26E3"/>
    <w:rsid w:val="007F3853"/>
    <w:rsid w:val="007F5383"/>
    <w:rsid w:val="007F6AA9"/>
    <w:rsid w:val="008006B4"/>
    <w:rsid w:val="00800827"/>
    <w:rsid w:val="00810582"/>
    <w:rsid w:val="00813A48"/>
    <w:rsid w:val="008152EF"/>
    <w:rsid w:val="008162F6"/>
    <w:rsid w:val="00817895"/>
    <w:rsid w:val="00817B4A"/>
    <w:rsid w:val="008272C0"/>
    <w:rsid w:val="00831982"/>
    <w:rsid w:val="008323D3"/>
    <w:rsid w:val="008351FF"/>
    <w:rsid w:val="00846F87"/>
    <w:rsid w:val="00862885"/>
    <w:rsid w:val="008660AD"/>
    <w:rsid w:val="0087086B"/>
    <w:rsid w:val="00881C2D"/>
    <w:rsid w:val="00886ED7"/>
    <w:rsid w:val="00894E29"/>
    <w:rsid w:val="0089693D"/>
    <w:rsid w:val="008A1184"/>
    <w:rsid w:val="008A1514"/>
    <w:rsid w:val="008B0830"/>
    <w:rsid w:val="008B77CD"/>
    <w:rsid w:val="008C3178"/>
    <w:rsid w:val="008C68A0"/>
    <w:rsid w:val="008D1243"/>
    <w:rsid w:val="008D3AFC"/>
    <w:rsid w:val="008D3E45"/>
    <w:rsid w:val="008D6200"/>
    <w:rsid w:val="008E2D12"/>
    <w:rsid w:val="008E3FF2"/>
    <w:rsid w:val="008F294D"/>
    <w:rsid w:val="009017AA"/>
    <w:rsid w:val="009055F3"/>
    <w:rsid w:val="009066B6"/>
    <w:rsid w:val="00907556"/>
    <w:rsid w:val="00907B17"/>
    <w:rsid w:val="00913817"/>
    <w:rsid w:val="00925F7F"/>
    <w:rsid w:val="009260B8"/>
    <w:rsid w:val="0092731B"/>
    <w:rsid w:val="009317C0"/>
    <w:rsid w:val="009352F4"/>
    <w:rsid w:val="00940E1D"/>
    <w:rsid w:val="00944E85"/>
    <w:rsid w:val="009510CB"/>
    <w:rsid w:val="00952960"/>
    <w:rsid w:val="00954FB8"/>
    <w:rsid w:val="00956BA0"/>
    <w:rsid w:val="009707C4"/>
    <w:rsid w:val="00970A93"/>
    <w:rsid w:val="00970B01"/>
    <w:rsid w:val="00971962"/>
    <w:rsid w:val="00971CC5"/>
    <w:rsid w:val="009762D5"/>
    <w:rsid w:val="00980AEA"/>
    <w:rsid w:val="00991002"/>
    <w:rsid w:val="00994EA3"/>
    <w:rsid w:val="009A38DE"/>
    <w:rsid w:val="009B06B5"/>
    <w:rsid w:val="009B5369"/>
    <w:rsid w:val="009B69BE"/>
    <w:rsid w:val="009E5BC1"/>
    <w:rsid w:val="009E5C83"/>
    <w:rsid w:val="009E65BC"/>
    <w:rsid w:val="009E6C76"/>
    <w:rsid w:val="009F0852"/>
    <w:rsid w:val="009F128B"/>
    <w:rsid w:val="009F5FB4"/>
    <w:rsid w:val="00A00BD5"/>
    <w:rsid w:val="00A021B5"/>
    <w:rsid w:val="00A02E6B"/>
    <w:rsid w:val="00A03055"/>
    <w:rsid w:val="00A046E7"/>
    <w:rsid w:val="00A04B00"/>
    <w:rsid w:val="00A11931"/>
    <w:rsid w:val="00A171EA"/>
    <w:rsid w:val="00A22177"/>
    <w:rsid w:val="00A236A4"/>
    <w:rsid w:val="00A35081"/>
    <w:rsid w:val="00A36F1C"/>
    <w:rsid w:val="00A433A6"/>
    <w:rsid w:val="00A43E7A"/>
    <w:rsid w:val="00A46ED3"/>
    <w:rsid w:val="00A504E1"/>
    <w:rsid w:val="00A666EC"/>
    <w:rsid w:val="00A779FE"/>
    <w:rsid w:val="00A77B07"/>
    <w:rsid w:val="00A84E04"/>
    <w:rsid w:val="00A85E8A"/>
    <w:rsid w:val="00A92CCF"/>
    <w:rsid w:val="00A940D1"/>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119C"/>
    <w:rsid w:val="00B27B8B"/>
    <w:rsid w:val="00B33EE6"/>
    <w:rsid w:val="00B46840"/>
    <w:rsid w:val="00B503CB"/>
    <w:rsid w:val="00B50F8D"/>
    <w:rsid w:val="00B60EC5"/>
    <w:rsid w:val="00B738A7"/>
    <w:rsid w:val="00B7586A"/>
    <w:rsid w:val="00B766F9"/>
    <w:rsid w:val="00B805A5"/>
    <w:rsid w:val="00B83DA1"/>
    <w:rsid w:val="00B84AED"/>
    <w:rsid w:val="00B90EE0"/>
    <w:rsid w:val="00B92478"/>
    <w:rsid w:val="00B9793F"/>
    <w:rsid w:val="00BA0765"/>
    <w:rsid w:val="00BA44A3"/>
    <w:rsid w:val="00BA4DB2"/>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5A17"/>
    <w:rsid w:val="00C171B6"/>
    <w:rsid w:val="00C2011B"/>
    <w:rsid w:val="00C2062A"/>
    <w:rsid w:val="00C30183"/>
    <w:rsid w:val="00C316FC"/>
    <w:rsid w:val="00C3644F"/>
    <w:rsid w:val="00C36666"/>
    <w:rsid w:val="00C43AAC"/>
    <w:rsid w:val="00C460D8"/>
    <w:rsid w:val="00C52B1A"/>
    <w:rsid w:val="00C61B8C"/>
    <w:rsid w:val="00C64DF6"/>
    <w:rsid w:val="00C712DE"/>
    <w:rsid w:val="00C826C2"/>
    <w:rsid w:val="00C836E5"/>
    <w:rsid w:val="00C83C65"/>
    <w:rsid w:val="00C840D0"/>
    <w:rsid w:val="00C843AC"/>
    <w:rsid w:val="00C867B9"/>
    <w:rsid w:val="00CA3B1B"/>
    <w:rsid w:val="00CB23E3"/>
    <w:rsid w:val="00CB2A5B"/>
    <w:rsid w:val="00CB759D"/>
    <w:rsid w:val="00CB7AAE"/>
    <w:rsid w:val="00CC0A41"/>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87D0A"/>
    <w:rsid w:val="00D93082"/>
    <w:rsid w:val="00D97139"/>
    <w:rsid w:val="00DA0ABA"/>
    <w:rsid w:val="00DC00AE"/>
    <w:rsid w:val="00DC0253"/>
    <w:rsid w:val="00DC4F70"/>
    <w:rsid w:val="00DC753D"/>
    <w:rsid w:val="00DD0CD4"/>
    <w:rsid w:val="00DE3C11"/>
    <w:rsid w:val="00DF04F0"/>
    <w:rsid w:val="00E147D3"/>
    <w:rsid w:val="00E1782A"/>
    <w:rsid w:val="00E21BC3"/>
    <w:rsid w:val="00E23A94"/>
    <w:rsid w:val="00E30BB5"/>
    <w:rsid w:val="00E31447"/>
    <w:rsid w:val="00E422A2"/>
    <w:rsid w:val="00E51950"/>
    <w:rsid w:val="00E5220B"/>
    <w:rsid w:val="00E6172B"/>
    <w:rsid w:val="00E669EC"/>
    <w:rsid w:val="00E66A55"/>
    <w:rsid w:val="00E713DA"/>
    <w:rsid w:val="00E765AE"/>
    <w:rsid w:val="00E813B7"/>
    <w:rsid w:val="00E81C0B"/>
    <w:rsid w:val="00E82874"/>
    <w:rsid w:val="00E845AC"/>
    <w:rsid w:val="00E867FC"/>
    <w:rsid w:val="00E9047D"/>
    <w:rsid w:val="00E97A06"/>
    <w:rsid w:val="00EA399C"/>
    <w:rsid w:val="00EA7B74"/>
    <w:rsid w:val="00EB401F"/>
    <w:rsid w:val="00EB4C19"/>
    <w:rsid w:val="00EC1215"/>
    <w:rsid w:val="00EC7EB7"/>
    <w:rsid w:val="00ED5FA0"/>
    <w:rsid w:val="00EE0A07"/>
    <w:rsid w:val="00EE6E92"/>
    <w:rsid w:val="00EF03C9"/>
    <w:rsid w:val="00EF0A8C"/>
    <w:rsid w:val="00EF6A28"/>
    <w:rsid w:val="00EF6FBF"/>
    <w:rsid w:val="00F014D9"/>
    <w:rsid w:val="00F05A6E"/>
    <w:rsid w:val="00F05BF1"/>
    <w:rsid w:val="00F07EE2"/>
    <w:rsid w:val="00F1778E"/>
    <w:rsid w:val="00F17A90"/>
    <w:rsid w:val="00F233FF"/>
    <w:rsid w:val="00F27C45"/>
    <w:rsid w:val="00F33C45"/>
    <w:rsid w:val="00F46873"/>
    <w:rsid w:val="00F4786D"/>
    <w:rsid w:val="00F504CC"/>
    <w:rsid w:val="00F50E8B"/>
    <w:rsid w:val="00F56666"/>
    <w:rsid w:val="00F601DF"/>
    <w:rsid w:val="00F60220"/>
    <w:rsid w:val="00F76A8F"/>
    <w:rsid w:val="00F77C8A"/>
    <w:rsid w:val="00F86AAA"/>
    <w:rsid w:val="00F9055E"/>
    <w:rsid w:val="00F91683"/>
    <w:rsid w:val="00FA17FC"/>
    <w:rsid w:val="00FB17AC"/>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rPr>
  </w:style>
  <w:style w:type="character" w:customStyle="1" w:styleId="Heading4Char">
    <w:name w:val="Heading 4 Char"/>
    <w:link w:val="Heading4"/>
    <w:semiHidden/>
    <w:rsid w:val="009B5369"/>
    <w:rPr>
      <w:rFonts w:ascii="Calibri" w:eastAsia="Times New Roman" w:hAnsi="Calibri" w:cs="Times New Roman"/>
      <w:b/>
      <w:bCs/>
      <w:snapToGrid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Annex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8550E-EEBB-446F-9E2B-3B1BA5609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B5D33F-2919-4270-84A5-2127D23D6396}">
  <ds:schemaRefs>
    <ds:schemaRef ds:uri="http://schemas.openxmlformats.org/officeDocument/2006/bibliography"/>
  </ds:schemaRefs>
</ds:datastoreItem>
</file>

<file path=customXml/itemProps3.xml><?xml version="1.0" encoding="utf-8"?>
<ds:datastoreItem xmlns:ds="http://schemas.openxmlformats.org/officeDocument/2006/customXml" ds:itemID="{9CCE9EBA-E46E-4F8B-A861-9EDF008D9940}">
  <ds:schemaRefs>
    <ds:schemaRef ds:uri="http://schemas.microsoft.com/sharepoint/v3/contenttype/forms"/>
  </ds:schemaRefs>
</ds:datastoreItem>
</file>

<file path=customXml/itemProps4.xml><?xml version="1.0" encoding="utf-8"?>
<ds:datastoreItem xmlns:ds="http://schemas.openxmlformats.org/officeDocument/2006/customXml" ds:itemID="{54A94BEF-1B98-4D51-8888-0CCC70EA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13233</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Mladen Velickovic</cp:lastModifiedBy>
  <cp:revision>29</cp:revision>
  <cp:lastPrinted>2016-05-31T08:36:00Z</cp:lastPrinted>
  <dcterms:created xsi:type="dcterms:W3CDTF">2021-06-23T07:58:00Z</dcterms:created>
  <dcterms:modified xsi:type="dcterms:W3CDTF">2025-06-12T14:08:00Z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0x010100263B1F5D7841074CBE2E963D24797DAD</vt:lpwstr>
  </property>
</Properties>
</file>